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AB18" w14:textId="77777777" w:rsidR="006D66CB" w:rsidRPr="00BB7B33" w:rsidRDefault="006D66CB"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81200B" w14:paraId="76AEB05F" w14:textId="77777777" w:rsidTr="00E55ECD">
        <w:trPr>
          <w:trHeight w:val="8976"/>
        </w:trPr>
        <w:tc>
          <w:tcPr>
            <w:tcW w:w="3178" w:type="dxa"/>
          </w:tcPr>
          <w:p w14:paraId="71AB5F6E" w14:textId="77777777" w:rsidR="006D66CB" w:rsidRPr="00BB7B33" w:rsidRDefault="006D66CB"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698AF34F" wp14:editId="12A503E8">
                  <wp:simplePos x="0" y="0"/>
                  <wp:positionH relativeFrom="page">
                    <wp:align>center</wp:align>
                  </wp:positionH>
                  <wp:positionV relativeFrom="paragraph">
                    <wp:posOffset>0</wp:posOffset>
                  </wp:positionV>
                  <wp:extent cx="838317" cy="142894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838317" cy="1428949"/>
                          </a:xfrm>
                          <a:prstGeom prst="rect">
                            <a:avLst/>
                          </a:prstGeom>
                        </pic:spPr>
                      </pic:pic>
                    </a:graphicData>
                  </a:graphic>
                </wp:anchor>
              </w:drawing>
            </w:r>
          </w:p>
        </w:tc>
        <w:tc>
          <w:tcPr>
            <w:tcW w:w="6229" w:type="dxa"/>
          </w:tcPr>
          <w:p w14:paraId="5678E324" w14:textId="77777777" w:rsidR="006D66CB" w:rsidRPr="00BB7B33" w:rsidRDefault="006D66CB"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5F938577" wp14:editId="39740A2F">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1200B" w14:paraId="19706836" w14:textId="77777777" w:rsidTr="0051066D">
                                    <w:trPr>
                                      <w:trHeight w:val="1837"/>
                                    </w:trPr>
                                    <w:tc>
                                      <w:tcPr>
                                        <w:tcW w:w="10632" w:type="dxa"/>
                                        <w:vAlign w:val="center"/>
                                      </w:tcPr>
                                      <w:p w14:paraId="48F9C9ED" w14:textId="77777777" w:rsidR="006D66CB" w:rsidRPr="003E0246" w:rsidRDefault="006D66CB"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31C472FA" w14:textId="77777777" w:rsidR="006D66CB" w:rsidRDefault="006D66CB"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87B9E2F" w14:textId="77777777" w:rsidR="006D66CB" w:rsidRDefault="006D66CB"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81200B" w14:paraId="1A6FDBDA" w14:textId="77777777" w:rsidTr="0051066D">
                                    <w:trPr>
                                      <w:trHeight w:val="20"/>
                                    </w:trPr>
                                    <w:tc>
                                      <w:tcPr>
                                        <w:tcW w:w="10632" w:type="dxa"/>
                                      </w:tcPr>
                                      <w:p w14:paraId="085AB21E" w14:textId="77777777" w:rsidR="006D66CB" w:rsidRPr="00642089" w:rsidRDefault="006D66CB" w:rsidP="000D139C">
                                        <w:pPr>
                                          <w:spacing w:before="240" w:after="0" w:line="240" w:lineRule="auto"/>
                                        </w:pPr>
                                        <w:r w:rsidRPr="00642089">
                                          <w:t>Attested on 24 April 2026 at 04:43 PM by Laura Sammut (Principal)</w:t>
                                        </w:r>
                                      </w:p>
                                    </w:tc>
                                  </w:tr>
                                </w:tbl>
                                <w:p w14:paraId="50520174" w14:textId="77777777" w:rsidR="006D66CB" w:rsidRDefault="006D66CB"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1200B" w14:paraId="4A91580E" w14:textId="77777777" w:rsidTr="000D139C">
                                    <w:trPr>
                                      <w:trHeight w:val="522"/>
                                    </w:trPr>
                                    <w:tc>
                                      <w:tcPr>
                                        <w:tcW w:w="10632" w:type="dxa"/>
                                        <w:vAlign w:val="center"/>
                                      </w:tcPr>
                                      <w:p w14:paraId="750E8F03" w14:textId="77777777" w:rsidR="006D66CB" w:rsidRDefault="006D66CB"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81200B" w14:paraId="2B388568" w14:textId="77777777" w:rsidTr="000D139C">
                                    <w:trPr>
                                      <w:trHeight w:val="113"/>
                                    </w:trPr>
                                    <w:tc>
                                      <w:tcPr>
                                        <w:tcW w:w="10632" w:type="dxa"/>
                                      </w:tcPr>
                                      <w:p w14:paraId="44EBF591" w14:textId="77777777" w:rsidR="006D66CB" w:rsidRPr="00642089" w:rsidRDefault="006D66CB" w:rsidP="000D139C">
                                        <w:pPr>
                                          <w:spacing w:before="240" w:after="0" w:line="240" w:lineRule="auto"/>
                                        </w:pPr>
                                        <w:r w:rsidRPr="00642089">
                                          <w:t>Attested on 28 April 2026 at 01:48 PM by Laura Sammut (Principal)</w:t>
                                        </w:r>
                                      </w:p>
                                    </w:tc>
                                  </w:tr>
                                </w:tbl>
                                <w:p w14:paraId="3262B66E" w14:textId="77777777" w:rsidR="006D66CB" w:rsidRDefault="006D66CB" w:rsidP="00BB7B33"/>
                              </w:txbxContent>
                            </wps:txbx>
                            <wps:bodyPr rot="0" vert="horz" wrap="square" anchor="t" anchorCtr="0" upright="1"/>
                          </wps:wsp>
                        </a:graphicData>
                      </a:graphic>
                    </wp:anchor>
                  </w:drawing>
                </mc:Choice>
                <mc:Fallback>
                  <w:pict>
                    <v:shapetype w14:anchorId="5F938577"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1200B" w14:paraId="19706836" w14:textId="77777777" w:rsidTr="0051066D">
                              <w:trPr>
                                <w:trHeight w:val="1837"/>
                              </w:trPr>
                              <w:tc>
                                <w:tcPr>
                                  <w:tcW w:w="10632" w:type="dxa"/>
                                  <w:vAlign w:val="center"/>
                                </w:tcPr>
                                <w:p w14:paraId="48F9C9ED" w14:textId="77777777" w:rsidR="006D66CB" w:rsidRPr="003E0246" w:rsidRDefault="006D66CB"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31C472FA" w14:textId="77777777" w:rsidR="006D66CB" w:rsidRDefault="006D66CB"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587B9E2F" w14:textId="77777777" w:rsidR="006D66CB" w:rsidRDefault="006D66CB"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81200B" w14:paraId="1A6FDBDA" w14:textId="77777777" w:rsidTr="0051066D">
                              <w:trPr>
                                <w:trHeight w:val="20"/>
                              </w:trPr>
                              <w:tc>
                                <w:tcPr>
                                  <w:tcW w:w="10632" w:type="dxa"/>
                                </w:tcPr>
                                <w:p w14:paraId="085AB21E" w14:textId="77777777" w:rsidR="006D66CB" w:rsidRPr="00642089" w:rsidRDefault="006D66CB" w:rsidP="000D139C">
                                  <w:pPr>
                                    <w:spacing w:before="240" w:after="0" w:line="240" w:lineRule="auto"/>
                                  </w:pPr>
                                  <w:r w:rsidRPr="00642089">
                                    <w:t>Attested on 24 April 2026 at 04:43 PM by Laura Sammut (Principal)</w:t>
                                  </w:r>
                                </w:p>
                              </w:tc>
                            </w:tr>
                          </w:tbl>
                          <w:p w14:paraId="50520174" w14:textId="77777777" w:rsidR="006D66CB" w:rsidRDefault="006D66CB"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81200B" w14:paraId="4A91580E" w14:textId="77777777" w:rsidTr="000D139C">
                              <w:trPr>
                                <w:trHeight w:val="522"/>
                              </w:trPr>
                              <w:tc>
                                <w:tcPr>
                                  <w:tcW w:w="10632" w:type="dxa"/>
                                  <w:vAlign w:val="center"/>
                                </w:tcPr>
                                <w:p w14:paraId="750E8F03" w14:textId="77777777" w:rsidR="006D66CB" w:rsidRDefault="006D66CB"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81200B" w14:paraId="2B388568" w14:textId="77777777" w:rsidTr="000D139C">
                              <w:trPr>
                                <w:trHeight w:val="113"/>
                              </w:trPr>
                              <w:tc>
                                <w:tcPr>
                                  <w:tcW w:w="10632" w:type="dxa"/>
                                </w:tcPr>
                                <w:p w14:paraId="44EBF591" w14:textId="77777777" w:rsidR="006D66CB" w:rsidRPr="00642089" w:rsidRDefault="006D66CB" w:rsidP="000D139C">
                                  <w:pPr>
                                    <w:spacing w:before="240" w:after="0" w:line="240" w:lineRule="auto"/>
                                  </w:pPr>
                                  <w:r w:rsidRPr="00642089">
                                    <w:t>Attested on 28 April 2026 at 01:48 PM by Laura Sammut (Principal)</w:t>
                                  </w:r>
                                </w:p>
                              </w:tc>
                            </w:tr>
                          </w:tbl>
                          <w:p w14:paraId="3262B66E" w14:textId="77777777" w:rsidR="006D66CB" w:rsidRDefault="006D66CB" w:rsidP="00BB7B33"/>
                        </w:txbxContent>
                      </v:textbox>
                      <w10:wrap anchorx="margin"/>
                    </v:shape>
                  </w:pict>
                </mc:Fallback>
              </mc:AlternateContent>
            </w:r>
          </w:p>
        </w:tc>
      </w:tr>
    </w:tbl>
    <w:p w14:paraId="26B1139D" w14:textId="77777777" w:rsidR="006D66CB" w:rsidRPr="00BB7B33" w:rsidRDefault="006D66CB" w:rsidP="00A56AED">
      <w:pPr>
        <w:pStyle w:val="Heading2"/>
        <w:rPr>
          <w:rFonts w:eastAsia="MS Mincho"/>
        </w:rPr>
      </w:pPr>
      <w:r w:rsidRPr="00BB7B33">
        <w:rPr>
          <w:rFonts w:eastAsia="MS Mincho"/>
          <w:noProof/>
        </w:rPr>
        <w:t>School Name: Hallam Primary School (0244)</w:t>
      </w:r>
    </w:p>
    <w:p w14:paraId="724A4579" w14:textId="77777777" w:rsidR="006D66CB" w:rsidRPr="00BB7B33" w:rsidRDefault="006D66CB" w:rsidP="00BB7B33">
      <w:pPr>
        <w:spacing w:before="0"/>
        <w:ind w:right="419"/>
        <w:rPr>
          <w:rFonts w:ascii="Arial" w:eastAsia="MS Mincho" w:hAnsi="Arial" w:cs="Arial"/>
          <w:color w:val="FFFFFF"/>
          <w:sz w:val="36"/>
          <w:szCs w:val="36"/>
        </w:rPr>
      </w:pPr>
    </w:p>
    <w:p w14:paraId="26583230" w14:textId="77777777" w:rsidR="006D66CB" w:rsidRPr="00BB7B33" w:rsidRDefault="006D66CB" w:rsidP="00BB7B33">
      <w:pPr>
        <w:spacing w:before="0"/>
        <w:ind w:left="540" w:right="419"/>
        <w:rPr>
          <w:rFonts w:ascii="Arial" w:eastAsia="MS Mincho" w:hAnsi="Arial" w:cs="Arial"/>
          <w:color w:val="595959"/>
          <w:sz w:val="18"/>
          <w:szCs w:val="18"/>
        </w:rPr>
      </w:pPr>
    </w:p>
    <w:p w14:paraId="208A1F66" w14:textId="77777777" w:rsidR="006D66CB" w:rsidRDefault="006D66CB" w:rsidP="00BB7B33">
      <w:pPr>
        <w:keepNext/>
        <w:keepLines/>
        <w:spacing w:before="240"/>
        <w:jc w:val="center"/>
        <w:outlineLvl w:val="0"/>
        <w:rPr>
          <w:rFonts w:ascii="Arial" w:eastAsia="MS Mincho" w:hAnsi="Arial" w:cs="Arial"/>
          <w:color w:val="595959"/>
          <w:sz w:val="18"/>
          <w:szCs w:val="18"/>
        </w:rPr>
      </w:pPr>
    </w:p>
    <w:p w14:paraId="6DE35C3A" w14:textId="77777777" w:rsidR="006D66CB" w:rsidRPr="006364DC" w:rsidRDefault="006D66CB" w:rsidP="006364DC">
      <w:pPr>
        <w:rPr>
          <w:rFonts w:ascii="Arial" w:eastAsia="MS Gothic" w:hAnsi="Arial" w:cs="Times New Roman"/>
        </w:rPr>
      </w:pPr>
    </w:p>
    <w:p w14:paraId="4656048C" w14:textId="77777777" w:rsidR="006D66CB" w:rsidRPr="006364DC" w:rsidRDefault="006D66CB" w:rsidP="006364DC">
      <w:pPr>
        <w:rPr>
          <w:rFonts w:ascii="Arial" w:eastAsia="MS Gothic" w:hAnsi="Arial" w:cs="Times New Roman"/>
        </w:rPr>
      </w:pPr>
    </w:p>
    <w:p w14:paraId="6CF942DA" w14:textId="77777777" w:rsidR="006D66CB" w:rsidRPr="006364DC" w:rsidRDefault="006D66CB" w:rsidP="006364DC">
      <w:pPr>
        <w:rPr>
          <w:rFonts w:ascii="Arial" w:eastAsia="MS Gothic" w:hAnsi="Arial" w:cs="Times New Roman"/>
        </w:rPr>
      </w:pPr>
    </w:p>
    <w:p w14:paraId="318696CA" w14:textId="77777777" w:rsidR="006D66CB" w:rsidRPr="006364DC" w:rsidRDefault="006D66CB" w:rsidP="006364DC">
      <w:pPr>
        <w:rPr>
          <w:rFonts w:ascii="Arial" w:eastAsia="MS Gothic" w:hAnsi="Arial" w:cs="Times New Roman"/>
        </w:rPr>
      </w:pPr>
    </w:p>
    <w:p w14:paraId="135384F3" w14:textId="77777777" w:rsidR="006D66CB" w:rsidRPr="006364DC" w:rsidRDefault="006D66CB" w:rsidP="006364DC">
      <w:pPr>
        <w:rPr>
          <w:rFonts w:ascii="Arial" w:eastAsia="MS Gothic" w:hAnsi="Arial" w:cs="Times New Roman"/>
        </w:rPr>
      </w:pPr>
    </w:p>
    <w:p w14:paraId="06200F49" w14:textId="77777777" w:rsidR="006D66CB" w:rsidRPr="006364DC" w:rsidRDefault="006D66CB" w:rsidP="006364DC">
      <w:pPr>
        <w:rPr>
          <w:rFonts w:ascii="Arial" w:eastAsia="MS Gothic" w:hAnsi="Arial" w:cs="Times New Roman"/>
        </w:rPr>
      </w:pPr>
    </w:p>
    <w:p w14:paraId="16F70F0E" w14:textId="77777777" w:rsidR="006D66CB" w:rsidRPr="006364DC" w:rsidRDefault="006D66CB" w:rsidP="006364DC">
      <w:pPr>
        <w:rPr>
          <w:rFonts w:ascii="Arial" w:eastAsia="MS Gothic" w:hAnsi="Arial" w:cs="Times New Roman"/>
        </w:rPr>
      </w:pPr>
    </w:p>
    <w:p w14:paraId="1F095405" w14:textId="77777777" w:rsidR="006D66CB" w:rsidRPr="006364DC" w:rsidRDefault="006D66CB" w:rsidP="006364DC">
      <w:pPr>
        <w:rPr>
          <w:rFonts w:ascii="Arial" w:eastAsia="MS Gothic" w:hAnsi="Arial" w:cs="Times New Roman"/>
        </w:rPr>
      </w:pPr>
    </w:p>
    <w:p w14:paraId="43E905AE" w14:textId="77777777" w:rsidR="006D66CB" w:rsidRPr="006364DC" w:rsidRDefault="006D66CB" w:rsidP="006364DC">
      <w:pPr>
        <w:rPr>
          <w:rFonts w:ascii="Arial" w:eastAsia="MS Gothic" w:hAnsi="Arial" w:cs="Times New Roman"/>
        </w:rPr>
      </w:pPr>
    </w:p>
    <w:p w14:paraId="5D8BB116" w14:textId="77777777" w:rsidR="006D66CB" w:rsidRPr="006364DC" w:rsidRDefault="006D66CB" w:rsidP="006364DC">
      <w:pPr>
        <w:rPr>
          <w:rFonts w:ascii="Arial" w:eastAsia="MS Gothic" w:hAnsi="Arial" w:cs="Times New Roman"/>
        </w:rPr>
      </w:pPr>
    </w:p>
    <w:p w14:paraId="531580C4" w14:textId="77777777" w:rsidR="006D66CB" w:rsidRPr="006364DC" w:rsidRDefault="006D66CB" w:rsidP="006364DC">
      <w:pPr>
        <w:rPr>
          <w:rFonts w:ascii="Arial" w:eastAsia="MS Gothic" w:hAnsi="Arial" w:cs="Times New Roman"/>
        </w:rPr>
      </w:pPr>
    </w:p>
    <w:p w14:paraId="7AF9CEFE" w14:textId="77777777" w:rsidR="006D66CB" w:rsidRPr="006364DC" w:rsidRDefault="006D66CB" w:rsidP="006364DC">
      <w:pPr>
        <w:rPr>
          <w:rFonts w:ascii="Arial" w:eastAsia="MS Gothic" w:hAnsi="Arial" w:cs="Times New Roman"/>
        </w:rPr>
      </w:pPr>
    </w:p>
    <w:p w14:paraId="5C86E6C6" w14:textId="77777777" w:rsidR="006D66CB" w:rsidRPr="006364DC" w:rsidRDefault="006D66CB" w:rsidP="006364DC">
      <w:pPr>
        <w:rPr>
          <w:rFonts w:ascii="Arial" w:eastAsia="MS Gothic" w:hAnsi="Arial" w:cs="Times New Roman"/>
        </w:rPr>
      </w:pPr>
    </w:p>
    <w:p w14:paraId="3E50278D" w14:textId="77777777" w:rsidR="006D66CB" w:rsidRPr="006364DC" w:rsidRDefault="006D66CB" w:rsidP="006364DC">
      <w:pPr>
        <w:rPr>
          <w:rFonts w:ascii="Arial" w:eastAsia="MS Gothic" w:hAnsi="Arial" w:cs="Times New Roman"/>
        </w:rPr>
      </w:pPr>
    </w:p>
    <w:p w14:paraId="240A1C19" w14:textId="77777777" w:rsidR="006D66CB" w:rsidRPr="006364DC" w:rsidRDefault="006D66CB" w:rsidP="006364DC">
      <w:pPr>
        <w:rPr>
          <w:rFonts w:ascii="Arial" w:eastAsia="MS Gothic" w:hAnsi="Arial" w:cs="Times New Roman"/>
        </w:rPr>
      </w:pPr>
    </w:p>
    <w:p w14:paraId="32E4B6B0" w14:textId="77777777" w:rsidR="006D66CB" w:rsidRPr="006364DC" w:rsidRDefault="006D66CB" w:rsidP="006364DC">
      <w:pPr>
        <w:rPr>
          <w:rFonts w:ascii="Arial" w:eastAsia="MS Gothic" w:hAnsi="Arial" w:cs="Times New Roman"/>
        </w:rPr>
      </w:pPr>
    </w:p>
    <w:p w14:paraId="0B413BFB" w14:textId="77777777" w:rsidR="006D66CB" w:rsidRPr="006364DC" w:rsidRDefault="006D66CB" w:rsidP="006364DC">
      <w:pPr>
        <w:rPr>
          <w:rFonts w:ascii="Arial" w:eastAsia="MS Gothic" w:hAnsi="Arial" w:cs="Times New Roman"/>
        </w:rPr>
      </w:pPr>
    </w:p>
    <w:p w14:paraId="60A6CEF1" w14:textId="77777777" w:rsidR="006D66CB" w:rsidRPr="006364DC" w:rsidRDefault="006D66CB" w:rsidP="006364DC">
      <w:pPr>
        <w:rPr>
          <w:rFonts w:ascii="Arial" w:eastAsia="MS Gothic" w:hAnsi="Arial" w:cs="Times New Roman"/>
        </w:rPr>
      </w:pPr>
    </w:p>
    <w:p w14:paraId="7A5DEDAE" w14:textId="77777777" w:rsidR="006D66CB" w:rsidRPr="006364DC" w:rsidRDefault="006D66CB" w:rsidP="006364DC">
      <w:pPr>
        <w:rPr>
          <w:rFonts w:ascii="Arial" w:eastAsia="MS Gothic" w:hAnsi="Arial" w:cs="Times New Roman"/>
        </w:rPr>
      </w:pPr>
    </w:p>
    <w:p w14:paraId="00742F44" w14:textId="77777777" w:rsidR="006D66CB" w:rsidRPr="006364DC" w:rsidRDefault="006D66CB" w:rsidP="006364DC">
      <w:pPr>
        <w:rPr>
          <w:rFonts w:ascii="Arial" w:eastAsia="MS Gothic" w:hAnsi="Arial" w:cs="Times New Roman"/>
        </w:rPr>
      </w:pPr>
    </w:p>
    <w:p w14:paraId="0445EB58" w14:textId="77777777" w:rsidR="006D66CB" w:rsidRPr="006364DC" w:rsidRDefault="006D66CB" w:rsidP="006364DC">
      <w:pPr>
        <w:rPr>
          <w:rFonts w:ascii="Arial" w:eastAsia="MS Gothic" w:hAnsi="Arial" w:cs="Times New Roman"/>
        </w:rPr>
      </w:pPr>
    </w:p>
    <w:p w14:paraId="096245D2" w14:textId="77777777" w:rsidR="006D66CB" w:rsidRPr="006364DC" w:rsidRDefault="006D66CB" w:rsidP="006364DC">
      <w:pPr>
        <w:rPr>
          <w:rFonts w:ascii="Arial" w:eastAsia="MS Gothic" w:hAnsi="Arial" w:cs="Times New Roman"/>
        </w:rPr>
      </w:pPr>
    </w:p>
    <w:p w14:paraId="1A1D46C4" w14:textId="77777777" w:rsidR="006D66CB" w:rsidRPr="006364DC" w:rsidRDefault="006D66CB" w:rsidP="006364DC">
      <w:pPr>
        <w:rPr>
          <w:rFonts w:ascii="Arial" w:eastAsia="MS Gothic" w:hAnsi="Arial" w:cs="Times New Roman"/>
        </w:rPr>
      </w:pPr>
    </w:p>
    <w:p w14:paraId="70308D9F" w14:textId="77777777" w:rsidR="006D66CB" w:rsidRPr="006364DC" w:rsidRDefault="006D66CB" w:rsidP="006364DC">
      <w:pPr>
        <w:rPr>
          <w:rFonts w:ascii="Arial" w:eastAsia="MS Gothic" w:hAnsi="Arial" w:cs="Times New Roman"/>
        </w:rPr>
      </w:pPr>
    </w:p>
    <w:p w14:paraId="11B5F68B" w14:textId="77777777" w:rsidR="006D66CB" w:rsidRDefault="006D66CB"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0CC00033" w14:textId="77777777" w:rsidR="006D66CB" w:rsidRPr="006364DC" w:rsidRDefault="006D66CB"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3CD465DE" w14:textId="77777777" w:rsidR="0081200B" w:rsidRDefault="006D66CB">
      <w:pPr>
        <w:pStyle w:val="Heading10"/>
      </w:pPr>
      <w:bookmarkStart w:id="2" w:name="how-to-read-the-annual-report"/>
      <w:r>
        <w:lastRenderedPageBreak/>
        <w:t>How to read the Annual Report</w:t>
      </w:r>
    </w:p>
    <w:p w14:paraId="3B54B81C" w14:textId="77777777" w:rsidR="0081200B" w:rsidRDefault="006D66CB">
      <w:pPr>
        <w:pStyle w:val="Heading20"/>
      </w:pPr>
      <w:bookmarkStart w:id="3" w:name="X7dae053837fd441fc10137421ccd7c20cf0e4c4"/>
      <w:r>
        <w:t xml:space="preserve">What does the </w:t>
      </w:r>
      <w:r>
        <w:rPr>
          <w:i/>
          <w:iCs/>
        </w:rPr>
        <w:t>About Our School</w:t>
      </w:r>
      <w:r>
        <w:t xml:space="preserve"> commentary section of this report refer to?</w:t>
      </w:r>
    </w:p>
    <w:p w14:paraId="3C27E86F" w14:textId="77777777" w:rsidR="0081200B" w:rsidRDefault="006D66CB">
      <w:r>
        <w:t>The ‘About our school’ commentary provides a brief background on the school and an overview of the school’s performance over the previous calendar year.</w:t>
      </w:r>
    </w:p>
    <w:p w14:paraId="620CB121" w14:textId="77777777" w:rsidR="0081200B" w:rsidRDefault="006D66CB">
      <w:r>
        <w:t>The ‘School Context’ describes the school’s vision, values, and purpose. Details include the school’s geographic location, size and structure, social characteristics, enrolment characteristics, and special programs.</w:t>
      </w:r>
    </w:p>
    <w:p w14:paraId="1BF431C8" w14:textId="77777777" w:rsidR="0081200B" w:rsidRDefault="006D66CB">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022683A0" w14:textId="77777777" w:rsidR="0081200B" w:rsidRDefault="006D66CB">
      <w:pPr>
        <w:pStyle w:val="Heading20"/>
      </w:pPr>
      <w:bookmarkStart w:id="4" w:name="X3f86002c48a0a3de82aada63598aa289f3922b4"/>
      <w:bookmarkEnd w:id="3"/>
      <w:r>
        <w:t>What does the ‘Performance Summary’ section of this report refer to?</w:t>
      </w:r>
    </w:p>
    <w:p w14:paraId="1A944CEC" w14:textId="77777777" w:rsidR="0081200B" w:rsidRDefault="006D66CB">
      <w:r>
        <w:t>The Performance Summary includes the following:</w:t>
      </w:r>
    </w:p>
    <w:p w14:paraId="4657AB44" w14:textId="77777777" w:rsidR="0081200B" w:rsidRDefault="006D66CB">
      <w:pPr>
        <w:numPr>
          <w:ilvl w:val="0"/>
          <w:numId w:val="24"/>
        </w:numPr>
      </w:pPr>
      <w:r>
        <w:t>School Profile</w:t>
      </w:r>
    </w:p>
    <w:p w14:paraId="2C521CA8" w14:textId="77777777" w:rsidR="0081200B" w:rsidRDefault="006D66CB">
      <w:pPr>
        <w:numPr>
          <w:ilvl w:val="1"/>
          <w:numId w:val="25"/>
        </w:numPr>
      </w:pPr>
      <w:r>
        <w:t>student enrolment information</w:t>
      </w:r>
    </w:p>
    <w:p w14:paraId="65222169" w14:textId="77777777" w:rsidR="0081200B" w:rsidRDefault="006D66CB">
      <w:pPr>
        <w:numPr>
          <w:ilvl w:val="1"/>
          <w:numId w:val="25"/>
        </w:numPr>
      </w:pPr>
      <w:r>
        <w:t>the school’s ‘Student Family Occupation and Education’ category</w:t>
      </w:r>
    </w:p>
    <w:p w14:paraId="6968A4D0" w14:textId="77777777" w:rsidR="0081200B" w:rsidRDefault="006D66CB">
      <w:pPr>
        <w:numPr>
          <w:ilvl w:val="1"/>
          <w:numId w:val="25"/>
        </w:numPr>
      </w:pPr>
      <w:r>
        <w:t>responses to the General Satisfaction area of the Parent/Caregiver/Guardian Opinion Survey</w:t>
      </w:r>
    </w:p>
    <w:p w14:paraId="6E87C070" w14:textId="77777777" w:rsidR="0081200B" w:rsidRDefault="006D66CB">
      <w:pPr>
        <w:numPr>
          <w:ilvl w:val="1"/>
          <w:numId w:val="25"/>
        </w:numPr>
      </w:pPr>
      <w:r>
        <w:t>school staff responses to the School Climate area of the School Staff Survey</w:t>
      </w:r>
    </w:p>
    <w:p w14:paraId="68EE72B5" w14:textId="77777777" w:rsidR="0081200B" w:rsidRDefault="006D66CB">
      <w:pPr>
        <w:numPr>
          <w:ilvl w:val="0"/>
          <w:numId w:val="24"/>
        </w:numPr>
      </w:pPr>
      <w:r>
        <w:t>Learning</w:t>
      </w:r>
    </w:p>
    <w:p w14:paraId="1EB38ADC" w14:textId="77777777" w:rsidR="0081200B" w:rsidRDefault="006D66CB">
      <w:pPr>
        <w:numPr>
          <w:ilvl w:val="1"/>
          <w:numId w:val="26"/>
        </w:numPr>
      </w:pPr>
      <w:r>
        <w:t>English and Mathematics for Teacher Judgements against the curriculum</w:t>
      </w:r>
    </w:p>
    <w:p w14:paraId="68E2CC1F" w14:textId="77777777" w:rsidR="0081200B" w:rsidRDefault="006D66CB">
      <w:pPr>
        <w:numPr>
          <w:ilvl w:val="1"/>
          <w:numId w:val="26"/>
        </w:numPr>
      </w:pPr>
      <w:r>
        <w:t>Reading and Numeracy proficiency levels for National Literacy and Numeracy tests (NAPLAN)</w:t>
      </w:r>
    </w:p>
    <w:p w14:paraId="5FBDB5EC" w14:textId="77777777" w:rsidR="0081200B" w:rsidRDefault="006D66CB">
      <w:pPr>
        <w:numPr>
          <w:ilvl w:val="1"/>
          <w:numId w:val="26"/>
        </w:numPr>
      </w:pPr>
      <w:r>
        <w:t>Reading and Numeracy relative growth for National Literacy and Numeracy tests (NAPLAN)</w:t>
      </w:r>
    </w:p>
    <w:p w14:paraId="0BF917D2" w14:textId="77777777" w:rsidR="0081200B" w:rsidRDefault="006D66CB">
      <w:pPr>
        <w:numPr>
          <w:ilvl w:val="0"/>
          <w:numId w:val="24"/>
        </w:numPr>
      </w:pPr>
      <w:r>
        <w:t>Wellbeing</w:t>
      </w:r>
    </w:p>
    <w:p w14:paraId="6E139B25" w14:textId="77777777" w:rsidR="0081200B" w:rsidRDefault="006D66CB">
      <w:pPr>
        <w:numPr>
          <w:ilvl w:val="1"/>
          <w:numId w:val="27"/>
        </w:numPr>
      </w:pPr>
      <w:r>
        <w:t>student responses to the Sense of Connectedness area in the Student Attitudes to School Survey</w:t>
      </w:r>
    </w:p>
    <w:p w14:paraId="0133BBB4" w14:textId="77777777" w:rsidR="0081200B" w:rsidRDefault="006D66CB">
      <w:pPr>
        <w:numPr>
          <w:ilvl w:val="1"/>
          <w:numId w:val="27"/>
        </w:numPr>
      </w:pPr>
      <w:r>
        <w:t>student responses to the Management of Bullying area in the Student Attitudes to School Survey</w:t>
      </w:r>
    </w:p>
    <w:p w14:paraId="38B4932D" w14:textId="77777777" w:rsidR="0081200B" w:rsidRDefault="006D66CB">
      <w:pPr>
        <w:numPr>
          <w:ilvl w:val="0"/>
          <w:numId w:val="24"/>
        </w:numPr>
      </w:pPr>
      <w:r>
        <w:t>Engagement</w:t>
      </w:r>
    </w:p>
    <w:p w14:paraId="027EF454" w14:textId="77777777" w:rsidR="0081200B" w:rsidRDefault="006D66CB">
      <w:pPr>
        <w:numPr>
          <w:ilvl w:val="1"/>
          <w:numId w:val="28"/>
        </w:numPr>
      </w:pPr>
      <w:r>
        <w:t>average absence days per student</w:t>
      </w:r>
    </w:p>
    <w:p w14:paraId="5B6FE453" w14:textId="77777777" w:rsidR="0081200B" w:rsidRDefault="006D66CB">
      <w:pPr>
        <w:numPr>
          <w:ilvl w:val="1"/>
          <w:numId w:val="28"/>
        </w:numPr>
      </w:pPr>
      <w:r>
        <w:t>student attendance rate</w:t>
      </w:r>
    </w:p>
    <w:p w14:paraId="6E972BA1" w14:textId="77777777" w:rsidR="0081200B" w:rsidRDefault="006D66CB">
      <w:r>
        <w:t>Key terms used in the Performance Summary are defined below:</w:t>
      </w:r>
    </w:p>
    <w:p w14:paraId="3871AA69" w14:textId="77777777" w:rsidR="0081200B" w:rsidRDefault="006D66CB">
      <w:pPr>
        <w:pStyle w:val="Heading30"/>
      </w:pPr>
      <w:bookmarkStart w:id="5" w:name="similar-schools"/>
      <w:r>
        <w:t>Similar Schools</w:t>
      </w:r>
    </w:p>
    <w:p w14:paraId="7BA35FC6" w14:textId="77777777" w:rsidR="0081200B" w:rsidRDefault="006D66CB">
      <w:r>
        <w:t>Similar Schools are a group of Victorian government schools with similar characteristics to the school.</w:t>
      </w:r>
    </w:p>
    <w:p w14:paraId="459E22C5" w14:textId="77777777" w:rsidR="0081200B" w:rsidRDefault="006D66CB">
      <w:r>
        <w:t>This grouping of schools has been created by comparing each school’s socio-economic background of students, the number of non-English speaking students and the school’s size and location.</w:t>
      </w:r>
    </w:p>
    <w:p w14:paraId="5EA8B283" w14:textId="77777777" w:rsidR="0081200B" w:rsidRDefault="006D66CB">
      <w:pPr>
        <w:pStyle w:val="Heading30"/>
      </w:pPr>
      <w:bookmarkStart w:id="6" w:name="ndp-and-nda"/>
      <w:bookmarkEnd w:id="5"/>
      <w:r>
        <w:lastRenderedPageBreak/>
        <w:t>NDP and NDA</w:t>
      </w:r>
    </w:p>
    <w:p w14:paraId="08D5285B" w14:textId="77777777" w:rsidR="0081200B" w:rsidRDefault="006D66CB">
      <w:r>
        <w:t>‘NDP’ refers to no data being published for privacy reasons or where there are insufficient underlying data. For example, very low numbers of participants or characteristics that may lead to identification will result in an ‘NDP’ label.</w:t>
      </w:r>
    </w:p>
    <w:p w14:paraId="7479D996" w14:textId="77777777" w:rsidR="0081200B" w:rsidRDefault="006D66CB">
      <w:r>
        <w:t>‘NDA’ refers to no data being available. Some schools have no data for particular measures due to low enrolments. There may be no students enrolled in some year levels, so school comparisons are not possible.</w:t>
      </w:r>
    </w:p>
    <w:p w14:paraId="019D47FB" w14:textId="77777777" w:rsidR="0081200B" w:rsidRDefault="006D66CB">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09DF1EA9" w14:textId="77777777" w:rsidR="0081200B" w:rsidRDefault="006D66CB">
      <w:pPr>
        <w:pStyle w:val="Heading30"/>
      </w:pPr>
      <w:bookmarkStart w:id="7" w:name="the-victorian-curriculum"/>
      <w:bookmarkEnd w:id="6"/>
      <w:r>
        <w:t>The Victorian Curriculum</w:t>
      </w:r>
    </w:p>
    <w:p w14:paraId="4FA7EEE5" w14:textId="77777777" w:rsidR="0081200B" w:rsidRDefault="006D66CB">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7884A0B1" w14:textId="77777777" w:rsidR="0081200B" w:rsidRDefault="006D66CB">
      <w:r>
        <w:t>The Victorian Curriculum is assessed through teacher judgements of student achievement based on classroom learning.</w:t>
      </w:r>
    </w:p>
    <w:p w14:paraId="13159233" w14:textId="77777777" w:rsidR="0081200B" w:rsidRDefault="006D66CB">
      <w:r>
        <w:t>The curriculum has been developed to ensure that school subjects and their achievement standards enable continuous learning for all students, including students with disabilities.</w:t>
      </w:r>
    </w:p>
    <w:p w14:paraId="3D967795" w14:textId="77777777" w:rsidR="0081200B" w:rsidRDefault="006D66CB">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50766CCA" w14:textId="77777777" w:rsidR="0081200B" w:rsidRDefault="006D66CB">
      <w:pPr>
        <w:pStyle w:val="Heading20"/>
      </w:pPr>
      <w:bookmarkStart w:id="8" w:name="X6752e4e4dcbe51ad748a17b48e3170688bc559d"/>
      <w:bookmarkEnd w:id="7"/>
      <w:bookmarkEnd w:id="4"/>
      <w:r>
        <w:t>Updates to the ‘Performance Summary’ in the 2025 Annual Report</w:t>
      </w:r>
    </w:p>
    <w:p w14:paraId="6A385D2B" w14:textId="77777777" w:rsidR="0081200B" w:rsidRDefault="006D66CB">
      <w:r>
        <w:t>NAPLAN relative growth data has been included in the 2025 Performance Summary as there is sufficient data available for the comparison.</w:t>
      </w:r>
    </w:p>
    <w:p w14:paraId="0F5B2805" w14:textId="77777777" w:rsidR="0081200B" w:rsidRDefault="0081200B">
      <w:pPr>
        <w:sectPr w:rsidR="0081200B">
          <w:pgSz w:w="11906" w:h="16838"/>
          <w:pgMar w:top="1134" w:right="567" w:bottom="1701" w:left="567" w:header="0" w:footer="708" w:gutter="0"/>
          <w:cols w:space="720"/>
        </w:sectPr>
      </w:pPr>
    </w:p>
    <w:p w14:paraId="371B02C9" w14:textId="77777777" w:rsidR="006D66CB" w:rsidRDefault="006D66CB"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81200B" w14:paraId="0D0096D5" w14:textId="77777777" w:rsidTr="00812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2246B0FD" w14:textId="77777777" w:rsidR="006D66CB" w:rsidRPr="00A56AED" w:rsidRDefault="006D66CB" w:rsidP="00A56AED">
            <w:pPr>
              <w:pStyle w:val="Heading2"/>
              <w:rPr>
                <w:bCs w:val="0"/>
              </w:rPr>
            </w:pPr>
            <w:r w:rsidRPr="00A56AED">
              <w:rPr>
                <w:b w:val="0"/>
                <w:bCs w:val="0"/>
              </w:rPr>
              <w:t>School context</w:t>
            </w:r>
          </w:p>
        </w:tc>
      </w:tr>
      <w:tr w:rsidR="0081200B" w14:paraId="5066DA60"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6AA71057" w14:textId="77777777" w:rsidR="006D66CB" w:rsidRPr="00A56AED" w:rsidRDefault="006D66CB" w:rsidP="00A56AED">
            <w:pPr>
              <w:jc w:val="both"/>
              <w:rPr>
                <w:rFonts w:ascii="Arial" w:eastAsia="Arial" w:hAnsi="Arial" w:cs="Arial"/>
                <w:color w:val="auto"/>
                <w:sz w:val="22"/>
                <w:szCs w:val="22"/>
              </w:rPr>
            </w:pPr>
            <w:r w:rsidRPr="00A56AED">
              <w:rPr>
                <w:rFonts w:ascii="Arial" w:eastAsia="Arial" w:hAnsi="Arial" w:cs="Arial"/>
                <w:color w:val="auto"/>
                <w:sz w:val="22"/>
              </w:rPr>
              <w:t xml:space="preserve">Hallam Primary School acknowledges the Bunurong people of the Kulin Nation, the traditional custodians of the land where we come to learn, play and work. Our school is in the culturally diverse community of Hallam in the City of Casey, a south-eastern suburb of Melbourne, and has consistently been identified as a multi-cultural school with a high level of socio-economic disadvantage. The school's </w:t>
            </w:r>
            <w:r w:rsidRPr="00A56AED">
              <w:rPr>
                <w:rFonts w:ascii="Arial" w:eastAsia="Arial" w:hAnsi="Arial" w:cs="Arial"/>
                <w:i/>
                <w:iCs/>
                <w:color w:val="auto"/>
                <w:sz w:val="22"/>
              </w:rPr>
              <w:t>My School</w:t>
            </w:r>
            <w:r w:rsidRPr="00A56AED">
              <w:rPr>
                <w:rFonts w:ascii="Arial" w:eastAsia="Arial" w:hAnsi="Arial" w:cs="Arial"/>
                <w:color w:val="auto"/>
                <w:sz w:val="22"/>
              </w:rPr>
              <w:t xml:space="preserve"> profile for 2025 indicates that 82% of students fall within the lower two quartiles of Socio-Educational Advantage (SEA). This continued to be reflected in the school's 2025 Student Family Occupation Education (SFOE) Index of 0.5465 and the Index of Community Socio-Educational Advantage (ICSEA) of 939.</w:t>
            </w:r>
          </w:p>
          <w:p w14:paraId="262AC4D4" w14:textId="77777777" w:rsidR="006D66CB" w:rsidRPr="00A56AED" w:rsidRDefault="006D66CB" w:rsidP="00A56AED">
            <w:pPr>
              <w:jc w:val="both"/>
              <w:rPr>
                <w:rFonts w:ascii="Arial" w:eastAsia="Arial" w:hAnsi="Arial" w:cs="Arial"/>
                <w:color w:val="auto"/>
                <w:sz w:val="22"/>
                <w:szCs w:val="22"/>
              </w:rPr>
            </w:pPr>
            <w:r w:rsidRPr="00A56AED">
              <w:rPr>
                <w:rFonts w:ascii="Arial" w:eastAsia="Arial" w:hAnsi="Arial" w:cs="Arial"/>
                <w:color w:val="auto"/>
                <w:sz w:val="22"/>
              </w:rPr>
              <w:t>Throughout 2025 the enrolment hovered around 415 students within a highly transient school community. 2025 data reflected almost equal representation of male and female students, including 2% Indigenous background and 72% Language Background Other Than English (LBOTE). Approximately 35 Languages Other Than English (LOTE) were represented within the student cohort. </w:t>
            </w:r>
          </w:p>
          <w:p w14:paraId="51CDD015" w14:textId="77777777" w:rsidR="006D66CB" w:rsidRPr="00A56AED" w:rsidRDefault="006D66CB" w:rsidP="00A56AED">
            <w:pPr>
              <w:jc w:val="both"/>
              <w:rPr>
                <w:rFonts w:ascii="Arial" w:eastAsia="Arial" w:hAnsi="Arial" w:cs="Arial"/>
                <w:color w:val="auto"/>
                <w:sz w:val="22"/>
                <w:szCs w:val="22"/>
              </w:rPr>
            </w:pPr>
            <w:r w:rsidRPr="00A56AED">
              <w:rPr>
                <w:rFonts w:ascii="Arial" w:eastAsia="Arial" w:hAnsi="Arial" w:cs="Arial"/>
                <w:color w:val="auto"/>
                <w:sz w:val="22"/>
              </w:rPr>
              <w:t>A staff of fifty (50), comprising a Principal, Assistant Principal, three Learning Specialists, 25 Teaching personnel and 20 (15.2EFT) Education Support personnel, catered to students' learning, wellbeing and inclusion needs throughout 2025. Established Allied Health service providers, including a Speech Pathologist, two Psychologists, an Occupational Therapist and an Art Therapist, provided additional support for identified students. </w:t>
            </w:r>
          </w:p>
          <w:p w14:paraId="5FB49204" w14:textId="77777777" w:rsidR="006D66CB" w:rsidRPr="00A56AED" w:rsidRDefault="006D66CB" w:rsidP="00A56AED">
            <w:pPr>
              <w:jc w:val="both"/>
              <w:rPr>
                <w:rFonts w:ascii="Arial" w:eastAsia="Arial" w:hAnsi="Arial" w:cs="Arial"/>
                <w:color w:val="auto"/>
                <w:sz w:val="22"/>
                <w:szCs w:val="22"/>
              </w:rPr>
            </w:pPr>
            <w:r w:rsidRPr="00A56AED">
              <w:rPr>
                <w:rFonts w:ascii="Arial" w:eastAsia="Arial" w:hAnsi="Arial" w:cs="Arial"/>
                <w:color w:val="auto"/>
                <w:sz w:val="22"/>
              </w:rPr>
              <w:t xml:space="preserve">Hallam Primary School fosters the values of </w:t>
            </w:r>
            <w:r w:rsidRPr="00A56AED">
              <w:rPr>
                <w:rFonts w:ascii="Arial" w:eastAsia="Arial" w:hAnsi="Arial" w:cs="Arial"/>
                <w:i/>
                <w:iCs/>
                <w:color w:val="auto"/>
                <w:sz w:val="22"/>
              </w:rPr>
              <w:t>Fairness</w:t>
            </w:r>
            <w:r w:rsidRPr="00A56AED">
              <w:rPr>
                <w:rFonts w:ascii="Arial" w:eastAsia="Arial" w:hAnsi="Arial" w:cs="Arial"/>
                <w:color w:val="auto"/>
                <w:sz w:val="22"/>
              </w:rPr>
              <w:t xml:space="preserve">, </w:t>
            </w:r>
            <w:r w:rsidRPr="00A56AED">
              <w:rPr>
                <w:rFonts w:ascii="Arial" w:eastAsia="Arial" w:hAnsi="Arial" w:cs="Arial"/>
                <w:i/>
                <w:iCs/>
                <w:color w:val="auto"/>
                <w:sz w:val="22"/>
              </w:rPr>
              <w:t>Growth</w:t>
            </w:r>
            <w:r w:rsidRPr="00A56AED">
              <w:rPr>
                <w:rFonts w:ascii="Arial" w:eastAsia="Arial" w:hAnsi="Arial" w:cs="Arial"/>
                <w:color w:val="auto"/>
                <w:sz w:val="22"/>
              </w:rPr>
              <w:t xml:space="preserve">, </w:t>
            </w:r>
            <w:r w:rsidRPr="00A56AED">
              <w:rPr>
                <w:rFonts w:ascii="Arial" w:eastAsia="Arial" w:hAnsi="Arial" w:cs="Arial"/>
                <w:i/>
                <w:iCs/>
                <w:color w:val="auto"/>
                <w:sz w:val="22"/>
              </w:rPr>
              <w:t>Respect</w:t>
            </w:r>
            <w:r w:rsidRPr="00A56AED">
              <w:rPr>
                <w:rFonts w:ascii="Arial" w:eastAsia="Arial" w:hAnsi="Arial" w:cs="Arial"/>
                <w:color w:val="auto"/>
                <w:sz w:val="22"/>
              </w:rPr>
              <w:t xml:space="preserve"> and </w:t>
            </w:r>
            <w:r w:rsidRPr="00A56AED">
              <w:rPr>
                <w:rFonts w:ascii="Arial" w:eastAsia="Arial" w:hAnsi="Arial" w:cs="Arial"/>
                <w:i/>
                <w:iCs/>
                <w:color w:val="auto"/>
                <w:sz w:val="22"/>
              </w:rPr>
              <w:t>Teamwork</w:t>
            </w:r>
            <w:r w:rsidRPr="00A56AED">
              <w:rPr>
                <w:rFonts w:ascii="Arial" w:eastAsia="Arial" w:hAnsi="Arial" w:cs="Arial"/>
                <w:color w:val="auto"/>
                <w:sz w:val="22"/>
              </w:rPr>
              <w:t>. These values were developed in consultation with the Student Leadership Team (SLT) and senior students and endorsed by the School Council. There is a commitment by all staff to improving learning and teaching. Staff work collaboratively, develop learning partnerships and take collective responsibility for students' wellbeing and academic progress.</w:t>
            </w:r>
          </w:p>
          <w:p w14:paraId="2D527BDF" w14:textId="77777777" w:rsidR="006D66CB" w:rsidRPr="00A56AED" w:rsidRDefault="006D66CB" w:rsidP="00A56AED">
            <w:pPr>
              <w:rPr>
                <w:rFonts w:ascii="Arial" w:eastAsia="Arial" w:hAnsi="Arial" w:cs="Arial"/>
                <w:color w:val="auto"/>
                <w:sz w:val="22"/>
              </w:rPr>
            </w:pPr>
          </w:p>
        </w:tc>
      </w:tr>
      <w:tr w:rsidR="0081200B" w14:paraId="34D35237"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14D46FD7" w14:textId="77777777" w:rsidR="006D66CB" w:rsidRPr="00A56AED" w:rsidRDefault="006D66CB" w:rsidP="00A56AED">
            <w:pPr>
              <w:pStyle w:val="Heading2"/>
              <w:rPr>
                <w:bCs w:val="0"/>
              </w:rPr>
            </w:pPr>
            <w:r w:rsidRPr="00BB7B33">
              <w:rPr>
                <w:rFonts w:eastAsia="MS Gothic"/>
              </w:rPr>
              <w:t>Progress towards strategic goals, student outcomes and student engagement</w:t>
            </w:r>
          </w:p>
        </w:tc>
      </w:tr>
      <w:tr w:rsidR="0081200B" w14:paraId="3B201037"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2A05C9EB" w14:textId="77777777" w:rsidR="006D66CB" w:rsidRPr="00BB7B33" w:rsidRDefault="006D66CB" w:rsidP="00A56AED">
            <w:pPr>
              <w:pStyle w:val="Heading3"/>
              <w:rPr>
                <w:rFonts w:eastAsia="MS Gothic"/>
              </w:rPr>
            </w:pPr>
            <w:r w:rsidRPr="00BB7B33">
              <w:t>Learning</w:t>
            </w:r>
          </w:p>
        </w:tc>
      </w:tr>
      <w:tr w:rsidR="0081200B" w14:paraId="081B5704"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581AF1A2"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Hallam Primary School maintained a consistent, high-quality learning program for students from Foundation to Year 6, combining explicit instruction with experiential and inquiry-based approaches. A structured teaching model supported the development of English literacy and Mathematics in line with the Victorian Curriculum F–10 Version 2.0.</w:t>
            </w:r>
          </w:p>
          <w:p w14:paraId="1CB4C406"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 xml:space="preserve">Units of Investigation continued to engage students in meaningful, transdisciplinary learning connected to real-world contexts, while an ICT-rich environment fostered responsible and effective digital learning across all year levels. The school also offered a range of specialist programs, </w:t>
            </w:r>
            <w:r w:rsidRPr="00BB7B33">
              <w:rPr>
                <w:rFonts w:ascii="Arial" w:eastAsia="Arial" w:hAnsi="Arial" w:cs="Arial"/>
                <w:color w:val="auto"/>
                <w:sz w:val="22"/>
              </w:rPr>
              <w:lastRenderedPageBreak/>
              <w:t>including STEM (science, coding, robotics, virtual reality, CAD and 3D printing), Physical Education, The Arts (visual and performing), and LOTE (Auslan). Students further benefited from opportunities such as the Stephanie Alexander Kitchen Garden program, along with excursions, events and camps.</w:t>
            </w:r>
          </w:p>
          <w:p w14:paraId="5DD0CA6F"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Following the 2024 Review, the school implemented a consistent, whole-school instructional model, with a strong emphasis on scaffolding literacy through explicit teaching practices. Student outcomes were further enhanced through targeted staff professional learning and a structured, embedded approach to developing core English skills, including well-established phonics practices.</w:t>
            </w:r>
          </w:p>
          <w:p w14:paraId="2DF2DD44"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The school also prioritised the creation of a calm and orderly learning environment, supporting students’ personal and social development. A “team around the learner” approach remained central, with ongoing collaboration with a well-established Allied Health team. This was reinforced through continued professional learning and a clear prioritisation of both learning support and student wellbeing.</w:t>
            </w:r>
          </w:p>
          <w:p w14:paraId="591F447B"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2025 NAPLAN data showed students in Year 3 and 5 performing above Similar Schools and Network in Writing and Spelling. Reading performance saw less students in Strong and Exceeding but showed a growing percentage of students achieving medium or high growth between Years 3 and 5. NAPLAN Numeracy results were lower than expected and provides an opportunity for growth in 2026.</w:t>
            </w:r>
          </w:p>
          <w:p w14:paraId="1F93072A"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Teacher judgement data indicated comparatively more conservative achievement outcomes for students in the core areas of English and Mathematics when measured against Similar schools and State.</w:t>
            </w:r>
          </w:p>
          <w:p w14:paraId="66869FFC"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In 2025 the Year 1 Phonics Check was introduced state wide and data indicates students were slightly above measures for Similar Schools, but below Network and State; this provides an opportunity for growth in 2026.</w:t>
            </w:r>
          </w:p>
          <w:p w14:paraId="55B47C8F" w14:textId="77777777" w:rsidR="006D66CB" w:rsidRPr="00BB7B33" w:rsidRDefault="006D66CB" w:rsidP="00A56AED">
            <w:pPr>
              <w:rPr>
                <w:rFonts w:ascii="Arial" w:eastAsia="Arial" w:hAnsi="Arial" w:cs="Arial"/>
                <w:color w:val="auto"/>
                <w:sz w:val="22"/>
              </w:rPr>
            </w:pPr>
          </w:p>
        </w:tc>
      </w:tr>
      <w:tr w:rsidR="0081200B" w14:paraId="5BAF41C6"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1BE5D87F" w14:textId="77777777" w:rsidR="006D66CB" w:rsidRPr="00BB7B33" w:rsidRDefault="006D66CB" w:rsidP="00A56AED">
            <w:pPr>
              <w:pStyle w:val="Heading3"/>
              <w:rPr>
                <w:rFonts w:eastAsia="MS Gothic"/>
              </w:rPr>
            </w:pPr>
            <w:r w:rsidRPr="00BB7B33">
              <w:lastRenderedPageBreak/>
              <w:t>Wellbeing</w:t>
            </w:r>
          </w:p>
        </w:tc>
      </w:tr>
      <w:tr w:rsidR="0081200B" w14:paraId="6CBDDFC3"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6D7B2743"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 xml:space="preserve">Established wellbeing programs and supports continued at Hallam Primary School during 2025 with teachers, support staff and Allied Health personnel working collaboratively to optimise students' learning opportunities. Hallam Primary School continued to cater for students' wellbeing through the implementation of aligned, whole-school programs and supports that promoted inclusion, engagement and behaviour management. The Assistant Principal's role remained comprehensively allocated to student wellbeing. This </w:t>
            </w:r>
            <w:r w:rsidRPr="00BB7B33">
              <w:rPr>
                <w:rFonts w:ascii="Arial" w:eastAsia="Arial" w:hAnsi="Arial" w:cs="Arial"/>
                <w:color w:val="auto"/>
                <w:sz w:val="22"/>
              </w:rPr>
              <w:t>Assistant Principal was supported by a wellbeing team consisting of a Learning Specialist for inclusion and a Mental Health in Primary Schools Leader. </w:t>
            </w:r>
          </w:p>
          <w:p w14:paraId="289E297B"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Priority cohorts were all provided with responsive Individual Education Plans, reviewed and updated each term through collaboration between students, parents and staff at Student Support Group meetings. Day-to-day communications between Hallam Primary School and parents in relation to student behaviour, student wellbeing and student learning expectations continued. </w:t>
            </w:r>
          </w:p>
          <w:p w14:paraId="56AA1C23"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 xml:space="preserve">Education Support personnel were allocated within each cohort to undertake student learning needs support roles with individual students and small groups, following up with Allied Health programs, supporting diabetes management for students, implementing scripted intervention programs such as MacqLit and MiniLit, facilitating lunchtime programs and supporting Prep-Year 6 students' </w:t>
            </w:r>
            <w:r w:rsidRPr="00BB7B33">
              <w:rPr>
                <w:rFonts w:ascii="Arial" w:eastAsia="Arial" w:hAnsi="Arial" w:cs="Arial"/>
                <w:color w:val="auto"/>
                <w:sz w:val="22"/>
              </w:rPr>
              <w:lastRenderedPageBreak/>
              <w:t>applied learning experiences in the Stephanie Alexander Kitchen Garden and STEM programs. These ES staff undertook trauma informed training sessions offered through Berry Street.</w:t>
            </w:r>
          </w:p>
          <w:p w14:paraId="57065D5B"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All teaching and ES staff completed additional training through Monash University to better address the needs of our EAL Learners in the classroom. </w:t>
            </w:r>
          </w:p>
          <w:p w14:paraId="2A384274"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Hallam Primary School's playgroup, facilitated by a Save the Children "Small Talk' coordinator and supported by a Multi-cultural Education Aide (MEA) and Education Support Aide provided by Hallam Primary School, continued to encourage local families to develop an understanding of their role as primary educators. Parents continued to be encouraged to enrol their children in sessional kindergarten as the most appropriate early learning environment for the preparation for Foundation at primary school. </w:t>
            </w:r>
          </w:p>
          <w:p w14:paraId="4B5A202D"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Breakfast Club continued to operate in the school's hall every morning from 8:30am. Foodbank continued to support this program, while School Council continued to provide the necessary venue and equipment. </w:t>
            </w:r>
          </w:p>
          <w:p w14:paraId="5B91357D" w14:textId="77777777" w:rsidR="006D66CB" w:rsidRPr="00BB7B33" w:rsidRDefault="006D66CB" w:rsidP="00A56AED">
            <w:pPr>
              <w:rPr>
                <w:rFonts w:ascii="Arial" w:eastAsia="Arial" w:hAnsi="Arial" w:cs="Arial"/>
                <w:color w:val="auto"/>
                <w:sz w:val="22"/>
              </w:rPr>
            </w:pPr>
          </w:p>
        </w:tc>
      </w:tr>
      <w:tr w:rsidR="0081200B" w14:paraId="2CBD8D51"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4B3E367F" w14:textId="77777777" w:rsidR="006D66CB" w:rsidRPr="00BB7B33" w:rsidRDefault="006D66CB" w:rsidP="00A56AED">
            <w:pPr>
              <w:pStyle w:val="Heading3"/>
              <w:rPr>
                <w:rFonts w:eastAsia="MS Gothic"/>
              </w:rPr>
            </w:pPr>
            <w:r w:rsidRPr="00BB7B33">
              <w:lastRenderedPageBreak/>
              <w:t>Engagement</w:t>
            </w:r>
          </w:p>
        </w:tc>
      </w:tr>
      <w:tr w:rsidR="0081200B" w14:paraId="4EEB936E"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7EE31478"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Hallam Primary School continued to implement high expectations in relation to students’ regular attendance at school. Many students took extended, overseas holidays during 2025, with many away from school for one or more terms. Absence Learning Plans were provided to support parents and students during these extended absences. The percentage of Hallam Primary School students with 20 or more days absent during 2025 was 35%, under the average for Similar Schools, Network and State.</w:t>
            </w:r>
          </w:p>
          <w:p w14:paraId="68953AB3"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Hallam Primary School continued established protocols to monitor students' attendance and to follow up any absences with parents. The Multi-cultural Education Aide (Dari speaker) supported these conversations with families. Attendance meetings were also scheduled with families to help build good attendance habits to support learning. </w:t>
            </w:r>
          </w:p>
          <w:p w14:paraId="3FF9CFA7" w14:textId="77777777" w:rsidR="006D66CB" w:rsidRPr="00BB7B33" w:rsidRDefault="006D66CB" w:rsidP="00A56AED">
            <w:pPr>
              <w:jc w:val="both"/>
              <w:rPr>
                <w:rFonts w:ascii="Arial" w:eastAsia="Arial" w:hAnsi="Arial" w:cs="Arial"/>
                <w:color w:val="auto"/>
                <w:sz w:val="22"/>
                <w:szCs w:val="22"/>
              </w:rPr>
            </w:pPr>
            <w:r w:rsidRPr="00BB7B33">
              <w:rPr>
                <w:rFonts w:ascii="Arial" w:eastAsia="Arial" w:hAnsi="Arial" w:cs="Arial"/>
                <w:color w:val="auto"/>
                <w:sz w:val="22"/>
              </w:rPr>
              <w:t>Student-Parent-Teacher conferences were scheduled each semester for Prep-Year 6 students with majority of families scheduling interviewed to discuss their child's progress. This enabled shared conversations about students' learning achievements, attendance and wellbeing. Interpreters were booked to support parents, as required. Students' academic reports were available through the Compass Parent Portal.</w:t>
            </w:r>
          </w:p>
          <w:p w14:paraId="6D9FFF59" w14:textId="77777777" w:rsidR="006D66CB" w:rsidRPr="00BB7B33" w:rsidRDefault="006D66CB" w:rsidP="00A56AED">
            <w:pPr>
              <w:rPr>
                <w:rFonts w:ascii="Arial" w:eastAsia="Arial" w:hAnsi="Arial" w:cs="Arial"/>
                <w:color w:val="auto"/>
                <w:sz w:val="22"/>
                <w:szCs w:val="22"/>
              </w:rPr>
            </w:pPr>
            <w:r w:rsidRPr="00BB7B33">
              <w:rPr>
                <w:rFonts w:ascii="Arial" w:eastAsia="Arial" w:hAnsi="Arial" w:cs="Arial"/>
                <w:color w:val="auto"/>
                <w:sz w:val="22"/>
              </w:rPr>
              <w:t>Hallam Primary School continued to offer participation in lunchtime programs, such as Craft Club, Recorder Club and Lego Club. Sports equipment was available to students during recess and lunch breaks. 2025 saw the introduction of a new morning Running Club where students began the day joining teachers to run laps of the oval. The Kitchen Garden programs continued to engage students in the planting, maintenance and harvest of fruits and vegetables, and the preparation of seasonal foods, which were shared as</w:t>
            </w:r>
            <w:r w:rsidRPr="00BB7B33">
              <w:rPr>
                <w:rFonts w:ascii="Arial" w:eastAsia="Arial" w:hAnsi="Arial" w:cs="Arial"/>
                <w:color w:val="auto"/>
                <w:sz w:val="22"/>
              </w:rPr>
              <w:t xml:space="preserve"> a class. The Years 5-6 Master Chef competition was again a highlight. Year 6 students participated in elections for the 2025 Student Learning Team (SLT), and the Year 6 Farewell at an evening event with families. </w:t>
            </w:r>
          </w:p>
          <w:p w14:paraId="2E13F6B0" w14:textId="77777777" w:rsidR="006D66CB" w:rsidRPr="00BB7B33" w:rsidRDefault="006D66CB" w:rsidP="00A56AED">
            <w:pPr>
              <w:rPr>
                <w:rFonts w:ascii="Arial" w:eastAsia="Arial" w:hAnsi="Arial" w:cs="Arial"/>
                <w:color w:val="auto"/>
                <w:sz w:val="22"/>
              </w:rPr>
            </w:pPr>
          </w:p>
        </w:tc>
      </w:tr>
      <w:tr w:rsidR="0081200B" w14:paraId="6061A576"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3E83C677" w14:textId="77777777" w:rsidR="006D66CB" w:rsidRPr="00BB7B33" w:rsidRDefault="006D66CB" w:rsidP="00A56AED">
            <w:pPr>
              <w:pStyle w:val="Heading2"/>
              <w:rPr>
                <w:rFonts w:eastAsia="MS Gothic"/>
              </w:rPr>
            </w:pPr>
            <w:r w:rsidRPr="00BB7B33">
              <w:rPr>
                <w:rFonts w:eastAsia="MS Gothic"/>
              </w:rPr>
              <w:lastRenderedPageBreak/>
              <w:t>Other highlights from the school year</w:t>
            </w:r>
          </w:p>
        </w:tc>
      </w:tr>
      <w:tr w:rsidR="0081200B" w14:paraId="3068104E"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1D157EBB" w14:textId="77777777" w:rsidR="006D66CB" w:rsidRPr="00BB7B33" w:rsidRDefault="006D66CB" w:rsidP="00476100">
            <w:pPr>
              <w:jc w:val="both"/>
              <w:rPr>
                <w:rFonts w:ascii="Arial" w:eastAsia="Arial" w:hAnsi="Arial" w:cs="Arial"/>
                <w:color w:val="auto"/>
                <w:sz w:val="22"/>
                <w:szCs w:val="22"/>
              </w:rPr>
            </w:pPr>
            <w:r w:rsidRPr="00BB7B33">
              <w:rPr>
                <w:rFonts w:ascii="Arial" w:eastAsia="Arial" w:hAnsi="Arial" w:cs="Arial"/>
                <w:color w:val="auto"/>
                <w:sz w:val="22"/>
              </w:rPr>
              <w:t>Throughout 2025, Hallam Primary School offered a number of extra-curricular events and activities for Prep-Year 6 students such as swimming programs, Chesterfield Farm excursions, African Drumming sessions, trips to ScienceWorks and the Melbourne Museum, visits from the Casey 360 Bus and numerous Casey North sports events. Our annual Colour Run and 5/6 Movie Night were events not to be missed.</w:t>
            </w:r>
          </w:p>
          <w:p w14:paraId="5CAB7DC2" w14:textId="77777777" w:rsidR="006D66CB" w:rsidRPr="00BB7B33" w:rsidRDefault="006D66CB" w:rsidP="00476100">
            <w:pPr>
              <w:jc w:val="both"/>
              <w:rPr>
                <w:rFonts w:ascii="Arial" w:eastAsia="Arial" w:hAnsi="Arial" w:cs="Arial"/>
                <w:color w:val="auto"/>
                <w:sz w:val="22"/>
                <w:szCs w:val="22"/>
              </w:rPr>
            </w:pPr>
            <w:r w:rsidRPr="00BB7B33">
              <w:rPr>
                <w:rFonts w:ascii="Arial" w:eastAsia="Arial" w:hAnsi="Arial" w:cs="Arial"/>
                <w:color w:val="auto"/>
                <w:sz w:val="22"/>
              </w:rPr>
              <w:t>Many events were coordinated with Units of Investigation topics to further enhance learning opportunities and expand student vocabulary. Others were coordinated to support students' wellbeing and socio-emotional capabilities.</w:t>
            </w:r>
          </w:p>
          <w:p w14:paraId="3A0473AA" w14:textId="77777777" w:rsidR="006D66CB" w:rsidRPr="00BB7B33" w:rsidRDefault="006D66CB" w:rsidP="00476100">
            <w:pPr>
              <w:jc w:val="both"/>
              <w:rPr>
                <w:rFonts w:ascii="Arial" w:eastAsia="Arial" w:hAnsi="Arial" w:cs="Arial"/>
                <w:color w:val="auto"/>
                <w:sz w:val="22"/>
                <w:szCs w:val="22"/>
              </w:rPr>
            </w:pPr>
            <w:r w:rsidRPr="00BB7B33">
              <w:rPr>
                <w:rFonts w:ascii="Arial" w:eastAsia="Arial" w:hAnsi="Arial" w:cs="Arial"/>
                <w:color w:val="auto"/>
                <w:sz w:val="22"/>
              </w:rPr>
              <w:t>A small but dedicated group of parent volunteers supported Milk and Muffin morning teas for students, while staff supported celebrations including NAIDOC Week, ANZAC Day, National Simultaneous Storytime, Premiers' Reading Challenge, Book Week, Science Week and Education Week. </w:t>
            </w:r>
          </w:p>
          <w:p w14:paraId="57D601B8" w14:textId="77777777" w:rsidR="006D66CB" w:rsidRPr="00BB7B33" w:rsidRDefault="006D66CB" w:rsidP="00476100">
            <w:pPr>
              <w:jc w:val="both"/>
              <w:rPr>
                <w:rFonts w:ascii="Arial" w:eastAsia="Arial" w:hAnsi="Arial" w:cs="Arial"/>
                <w:color w:val="auto"/>
                <w:sz w:val="22"/>
                <w:szCs w:val="22"/>
              </w:rPr>
            </w:pPr>
            <w:r w:rsidRPr="00BB7B33">
              <w:rPr>
                <w:rFonts w:ascii="Arial" w:eastAsia="Arial" w:hAnsi="Arial" w:cs="Arial"/>
                <w:color w:val="auto"/>
                <w:sz w:val="22"/>
              </w:rPr>
              <w:t>2025 saw camps return to the Hallam Primary School calendar with the Year 5/6 cohort taking part in a three-day camp to Camp Munyung. The students participated in a variety of adventure activities and practised life skills by organising their own belongings and assisting with meal preparation and serving. </w:t>
            </w:r>
          </w:p>
          <w:p w14:paraId="480CDC31" w14:textId="77777777" w:rsidR="006D66CB" w:rsidRPr="00BB7B33" w:rsidRDefault="006D66CB" w:rsidP="00476100">
            <w:pPr>
              <w:rPr>
                <w:rFonts w:ascii="Arial" w:eastAsia="Arial" w:hAnsi="Arial" w:cs="Arial"/>
                <w:color w:val="auto"/>
                <w:sz w:val="22"/>
              </w:rPr>
            </w:pPr>
          </w:p>
        </w:tc>
      </w:tr>
      <w:tr w:rsidR="0081200B" w14:paraId="59DC461A"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23464546" w14:textId="77777777" w:rsidR="006D66CB" w:rsidRPr="00BB7B33" w:rsidRDefault="006D66CB" w:rsidP="00A56AED">
            <w:pPr>
              <w:pStyle w:val="Heading2"/>
              <w:rPr>
                <w:rFonts w:eastAsia="MS Gothic"/>
              </w:rPr>
            </w:pPr>
            <w:r w:rsidRPr="00BB7B33">
              <w:rPr>
                <w:rFonts w:eastAsia="MS Gothic"/>
              </w:rPr>
              <w:t>Financial performance</w:t>
            </w:r>
          </w:p>
        </w:tc>
      </w:tr>
      <w:tr w:rsidR="0081200B" w14:paraId="47006570" w14:textId="77777777" w:rsidTr="0081200B">
        <w:tc>
          <w:tcPr>
            <w:cnfStyle w:val="001000000000" w:firstRow="0" w:lastRow="0" w:firstColumn="1" w:lastColumn="0" w:oddVBand="0" w:evenVBand="0" w:oddHBand="0" w:evenHBand="0" w:firstRowFirstColumn="0" w:firstRowLastColumn="0" w:lastRowFirstColumn="0" w:lastRowLastColumn="0"/>
            <w:tcW w:w="9781" w:type="dxa"/>
          </w:tcPr>
          <w:p w14:paraId="727A2BB5" w14:textId="77777777" w:rsidR="006D66CB" w:rsidRPr="00BB7B33" w:rsidRDefault="006D66CB" w:rsidP="00476100">
            <w:pPr>
              <w:rPr>
                <w:rFonts w:ascii="Arial" w:eastAsia="Arial" w:hAnsi="Arial" w:cs="Arial"/>
                <w:color w:val="auto"/>
                <w:sz w:val="22"/>
                <w:szCs w:val="22"/>
              </w:rPr>
            </w:pPr>
            <w:r w:rsidRPr="00BB7B33">
              <w:rPr>
                <w:rFonts w:ascii="Arial" w:eastAsia="Arial" w:hAnsi="Arial" w:cs="Arial"/>
                <w:color w:val="auto"/>
                <w:sz w:val="22"/>
              </w:rPr>
              <w:t>Hallam Primary School continued to strategically manage all funds to support the learning and wellbeing for all students. Several small fundraisers throughout the year helped supplement purchases of additional equipment. Just over $10,000 was raised through fundraising with the annual Chocolate Drive continuing to be the most successful fundraiser of the year. We were successful in gaining an Active Schools Grant which was acquitted with the purchase of twista nets in our middle school playgrounds.</w:t>
            </w:r>
          </w:p>
          <w:p w14:paraId="53EBBDE8" w14:textId="77777777" w:rsidR="006D66CB" w:rsidRPr="00BB7B33" w:rsidRDefault="006D66CB" w:rsidP="00476100">
            <w:pPr>
              <w:rPr>
                <w:rFonts w:ascii="Arial" w:eastAsia="Arial" w:hAnsi="Arial" w:cs="Arial"/>
                <w:color w:val="auto"/>
                <w:sz w:val="22"/>
                <w:szCs w:val="22"/>
              </w:rPr>
            </w:pPr>
            <w:r w:rsidRPr="00BB7B33">
              <w:rPr>
                <w:rFonts w:ascii="Arial" w:eastAsia="Arial" w:hAnsi="Arial" w:cs="Arial"/>
                <w:color w:val="auto"/>
                <w:sz w:val="22"/>
              </w:rPr>
              <w:t>The school managed financial, human and physical resources to maintain the lowest possible class sizes and allow students the opportunity to engage in small group learning at their level. Hallam Primary School continued to run a school funded 1:1 device program of iPads and Chromebooks to all students, with the program overseen by a full time local technician. The school has contracted a part time Speech Pathologist, Psychologist, Occupational Therapist and Art Therapist to support our Allied Health program</w:t>
            </w:r>
            <w:r w:rsidRPr="00BB7B33">
              <w:rPr>
                <w:rFonts w:ascii="Arial" w:eastAsia="Arial" w:hAnsi="Arial" w:cs="Arial"/>
                <w:color w:val="auto"/>
                <w:sz w:val="22"/>
              </w:rPr>
              <w:t>. </w:t>
            </w:r>
          </w:p>
          <w:p w14:paraId="15E15090" w14:textId="77777777" w:rsidR="006D66CB" w:rsidRPr="00BB7B33" w:rsidRDefault="006D66CB" w:rsidP="00476100">
            <w:pPr>
              <w:rPr>
                <w:rFonts w:ascii="Arial" w:eastAsia="Arial" w:hAnsi="Arial" w:cs="Arial"/>
                <w:color w:val="auto"/>
                <w:sz w:val="22"/>
                <w:szCs w:val="22"/>
              </w:rPr>
            </w:pPr>
            <w:r w:rsidRPr="00BB7B33">
              <w:rPr>
                <w:rFonts w:ascii="Arial" w:eastAsia="Arial" w:hAnsi="Arial" w:cs="Arial"/>
                <w:color w:val="auto"/>
                <w:sz w:val="22"/>
              </w:rPr>
              <w:t>In 2025, Hallam Primary School invested funds to repair water leaks in the hall and to add cladding to the clerestory windows. The services of a Melbourne-based artist, Hayden Dewar, were engaged to design and paint a stunning mural on the street facing side of the STEM building. </w:t>
            </w:r>
          </w:p>
          <w:p w14:paraId="7FDC71A3" w14:textId="77777777" w:rsidR="006D66CB" w:rsidRPr="00BB7B33" w:rsidRDefault="006D66CB" w:rsidP="00476100">
            <w:pPr>
              <w:rPr>
                <w:rFonts w:ascii="Arial" w:eastAsia="Arial" w:hAnsi="Arial" w:cs="Arial"/>
                <w:color w:val="auto"/>
                <w:sz w:val="22"/>
              </w:rPr>
            </w:pPr>
          </w:p>
        </w:tc>
      </w:tr>
    </w:tbl>
    <w:p w14:paraId="754050D4" w14:textId="77777777" w:rsidR="006D66CB" w:rsidRDefault="006D66CB" w:rsidP="004827CE">
      <w:pPr>
        <w:spacing w:before="0" w:after="0" w:line="240" w:lineRule="auto"/>
      </w:pPr>
    </w:p>
    <w:p w14:paraId="3F69B85F" w14:textId="77777777" w:rsidR="006D66CB" w:rsidRDefault="006D66CB">
      <w:pPr>
        <w:spacing w:before="0" w:after="0" w:line="240" w:lineRule="auto"/>
      </w:pPr>
      <w:r>
        <w:br w:type="page"/>
      </w:r>
    </w:p>
    <w:p w14:paraId="55D2E8F4" w14:textId="77777777" w:rsidR="006D66CB" w:rsidRDefault="006D66CB" w:rsidP="004827CE">
      <w:pPr>
        <w:spacing w:before="0" w:after="0" w:line="240" w:lineRule="auto"/>
        <w:sectPr w:rsidR="00147B2E" w:rsidSect="0024636E">
          <w:pgSz w:w="11900" w:h="16840"/>
          <w:pgMar w:top="1882" w:right="567" w:bottom="1701" w:left="567" w:header="227" w:footer="0" w:gutter="0"/>
          <w:cols w:space="708"/>
          <w:docGrid w:linePitch="360"/>
        </w:sectPr>
      </w:pPr>
    </w:p>
    <w:p w14:paraId="173FCDAE" w14:textId="77777777" w:rsidR="0081200B" w:rsidRDefault="006D66CB">
      <w:pPr>
        <w:pStyle w:val="Heading11"/>
      </w:pPr>
      <w:bookmarkStart w:id="9" w:name="performance-summary"/>
      <w:bookmarkEnd w:id="8"/>
      <w:bookmarkEnd w:id="2"/>
      <w:r>
        <w:lastRenderedPageBreak/>
        <w:t>PERFORMANCE SUMMARY</w:t>
      </w:r>
    </w:p>
    <w:p w14:paraId="05C25B6A" w14:textId="77777777" w:rsidR="0081200B" w:rsidRDefault="006D66CB">
      <w:r>
        <w:t>The Performance Summary for government schools provides an overview of how this school is contributing to the objectives of the Education State and how it compares to other Victorian government schools.</w:t>
      </w:r>
    </w:p>
    <w:p w14:paraId="0C39A4C3" w14:textId="77777777" w:rsidR="0081200B" w:rsidRDefault="006D66CB">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1A72899C" w14:textId="77777777" w:rsidR="0081200B" w:rsidRDefault="006D66CB">
      <w:r>
        <w:t>Refer to the ‘How to read the Annual Report’ section for help on how to interpret this report.</w:t>
      </w:r>
    </w:p>
    <w:p w14:paraId="3715E510" w14:textId="77777777" w:rsidR="0081200B" w:rsidRDefault="006D66CB">
      <w:pPr>
        <w:pStyle w:val="Heading21"/>
      </w:pPr>
      <w:bookmarkStart w:id="10" w:name="school-profile"/>
      <w:r>
        <w:t>SCHOOL PROFILE</w:t>
      </w:r>
    </w:p>
    <w:p w14:paraId="5E0163EA" w14:textId="77777777" w:rsidR="0081200B" w:rsidRDefault="006D66CB">
      <w:pPr>
        <w:pStyle w:val="Heading31"/>
      </w:pPr>
      <w:bookmarkStart w:id="11" w:name="enrolment-profile"/>
      <w:r>
        <w:t>Enrolment Profile</w:t>
      </w:r>
    </w:p>
    <w:p w14:paraId="7662DE52" w14:textId="77777777" w:rsidR="0081200B" w:rsidRDefault="006D66CB">
      <w:r>
        <w:t xml:space="preserve">A total of 416 students were enrolled at this school in 2025, 200 female and 216 male. 63% had English as an additional language and NDP were Aboriginal or Torres Strait Islander. </w:t>
      </w:r>
    </w:p>
    <w:p w14:paraId="49F7F995" w14:textId="77777777" w:rsidR="0081200B" w:rsidRDefault="006D66CB">
      <w:pPr>
        <w:pStyle w:val="Heading31"/>
      </w:pPr>
      <w:bookmarkStart w:id="12" w:name="overall-socio-economic-profile"/>
      <w:bookmarkEnd w:id="11"/>
      <w:r>
        <w:t>Overall Socio-Economic Profile</w:t>
      </w:r>
    </w:p>
    <w:p w14:paraId="492EA477" w14:textId="77777777" w:rsidR="0081200B" w:rsidRDefault="006D66CB">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High</w:t>
      </w:r>
      <w:r>
        <w:t>.</w:t>
      </w:r>
    </w:p>
    <w:p w14:paraId="1D68532E" w14:textId="77777777" w:rsidR="0081200B" w:rsidRDefault="006D66CB">
      <w:pPr>
        <w:pStyle w:val="Heading31"/>
      </w:pPr>
      <w:bookmarkStart w:id="13" w:name="parent-satisfaction-summary"/>
      <w:bookmarkEnd w:id="12"/>
      <w:r>
        <w:t>Parent Satisfaction Summary</w:t>
      </w:r>
    </w:p>
    <w:p w14:paraId="464BDF68" w14:textId="77777777" w:rsidR="0081200B" w:rsidRDefault="006D66CB">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81200B" w14:paraId="5047963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7C66E7F"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289F68C"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1C42EB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E41758E"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81200B" w14:paraId="44EEC62A"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55A7659"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A7B2147"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0B87EA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93.3%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E0A38B"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3B792C1" wp14:editId="2485BC40">
                  <wp:extent cx="731520" cy="182880"/>
                  <wp:effectExtent l="0" t="0" r="0" b="0"/>
                  <wp:docPr id="1483026368" name="Picture 148302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4"/>
                          <a:stretch>
                            <a:fillRect/>
                          </a:stretch>
                        </pic:blipFill>
                        <pic:spPr bwMode="auto">
                          <a:xfrm>
                            <a:off x="0" y="0"/>
                            <a:ext cx="10160" cy="2540"/>
                          </a:xfrm>
                          <a:prstGeom prst="rect">
                            <a:avLst/>
                          </a:prstGeom>
                          <a:noFill/>
                        </pic:spPr>
                      </pic:pic>
                    </a:graphicData>
                  </a:graphic>
                </wp:inline>
              </w:drawing>
            </w:r>
          </w:p>
        </w:tc>
      </w:tr>
      <w:tr w:rsidR="0081200B" w14:paraId="27D78370"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7351BB8"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B751458"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59A5E25"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90.3%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E1A73C2"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9939753" wp14:editId="6E212E34">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81200B" w14:paraId="628C51B9"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1DA2EBD"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3FD456"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DC1D29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FB9B61E"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9F6860B" wp14:editId="5180FEEE">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bl>
    <w:p w14:paraId="3C280238" w14:textId="77777777" w:rsidR="0081200B" w:rsidRDefault="006D66CB">
      <w:pPr>
        <w:pStyle w:val="Heading31"/>
      </w:pPr>
      <w:bookmarkStart w:id="14" w:name="school-staff-survey"/>
      <w:bookmarkEnd w:id="13"/>
      <w:r>
        <w:t>School Staff Survey</w:t>
      </w:r>
    </w:p>
    <w:p w14:paraId="65E9FA47" w14:textId="77777777" w:rsidR="0081200B" w:rsidRDefault="006D66CB">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81200B" w14:paraId="135A8DE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C337120"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C87B1B7"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CB99232"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62A6467"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81200B" w14:paraId="7EB46F48"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402792A"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DEEF41C"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317A453"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60.4%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D07C8F1"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CC0CD5F" wp14:editId="6B939857">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81200B" w14:paraId="676E746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B1E2406"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E58F895"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6455674"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75.8%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D127064"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84831DA" wp14:editId="24AD2F92">
                  <wp:extent cx="731520" cy="182880"/>
                  <wp:effectExtent l="0" t="0" r="0" b="0"/>
                  <wp:docPr id="2029526821" name="Picture 202952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81200B" w14:paraId="5EC6ADD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374AFF2"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E8E9B8B"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FF2326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983C26D"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306B06F" wp14:editId="52AB553C">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bl>
    <w:p w14:paraId="070897BC" w14:textId="77777777" w:rsidR="0081200B" w:rsidRDefault="006D66CB">
      <w:pPr>
        <w:pStyle w:val="Heading21"/>
      </w:pPr>
      <w:bookmarkStart w:id="15" w:name="learning"/>
      <w:bookmarkEnd w:id="14"/>
      <w:bookmarkEnd w:id="10"/>
      <w:r>
        <w:lastRenderedPageBreak/>
        <w:t>LEARNING</w:t>
      </w:r>
    </w:p>
    <w:p w14:paraId="6FB1AD5C" w14:textId="77777777" w:rsidR="0081200B" w:rsidRDefault="006D66CB">
      <w:pPr>
        <w:pStyle w:val="Heading31"/>
      </w:pPr>
      <w:bookmarkStart w:id="16" w:name="Xd3002550eeab6e7db743681fe2e67981201cd7b"/>
      <w:r>
        <w:t>Teacher Judgement of student achievement against the Victorian Curriculum</w:t>
      </w:r>
    </w:p>
    <w:p w14:paraId="0E5486C1" w14:textId="77777777" w:rsidR="0081200B" w:rsidRDefault="006D66CB">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81200B" w14:paraId="43EBA14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BC255FB"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9695D0B"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A23472F"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66ECE42"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81200B" w14:paraId="2FF654A7"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197F352"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D5E5D4A"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82DCB2F"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64.6%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FD881B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1F1C082" wp14:editId="0272E950">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81200B" w14:paraId="1E06926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81A639C"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76C2273"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A727A42"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4C8FFB5"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D6D4A61" wp14:editId="34CB1414">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81200B" w14:paraId="03BD835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D2B567A"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A17717"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7626F1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64BC47B"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DCE0D84" wp14:editId="14E98162">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81200B" w14:paraId="151F546C"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8642A93"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5C202F2"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EF7EAF0"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67.2%</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7FCB7AD"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D154CF7" wp14:editId="15367AB2">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81200B" w14:paraId="574CC571"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DF66E47"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1F178BB"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7B156C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95BF180"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60DC5C5" wp14:editId="3968FEDE">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81200B" w14:paraId="1C24BBD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73F6953"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6B876DD"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DB4AA5E"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6F8A6D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C065E7F" wp14:editId="6B63EB6D">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bl>
    <w:p w14:paraId="484773CF" w14:textId="77777777" w:rsidR="0081200B" w:rsidRDefault="006D66CB">
      <w:pPr>
        <w:pStyle w:val="Heading31"/>
      </w:pPr>
      <w:bookmarkStart w:id="17" w:name="naplan"/>
      <w:bookmarkEnd w:id="16"/>
      <w:r>
        <w:t>NAPLAN</w:t>
      </w:r>
    </w:p>
    <w:p w14:paraId="7832AF54" w14:textId="77777777" w:rsidR="0081200B" w:rsidRDefault="006D66CB">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81200B" w14:paraId="762E211C"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4B7D0F45"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7BF9752"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C1CE2A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B310865"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31C0D11"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81200B" w14:paraId="5CAED67B"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2B92A81"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4A0701A"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9F97C19"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56.6%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31A9F3B"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34BA4C3" wp14:editId="37FCC9E5">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F5B4D3C"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55.3%</w:t>
            </w:r>
          </w:p>
        </w:tc>
      </w:tr>
      <w:tr w:rsidR="0081200B" w14:paraId="5E0DA07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A671BCE"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0A26FA0"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2A11309"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56.3%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86405C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7DA362C" wp14:editId="095D29FA">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03F78E4"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56.1%</w:t>
            </w:r>
          </w:p>
        </w:tc>
      </w:tr>
      <w:tr w:rsidR="0081200B" w14:paraId="06B1F6B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BD2B732"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DCAE68F"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FBDD4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64EB33"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6201630" wp14:editId="28001C63">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29FC76A"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81200B" w14:paraId="7DBE7D97"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4528FB6"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E603307"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B925B66"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72.5%</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8C9394F"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74DB97D" wp14:editId="6BD1BABD">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AA88337"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69.6%</w:t>
            </w:r>
          </w:p>
        </w:tc>
      </w:tr>
      <w:tr w:rsidR="0081200B" w14:paraId="32F66CA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FE4F4EE"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9517AA"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BB9C05B"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015369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7F5C5B1" wp14:editId="5AADF9D5">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8DCA017"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61.7%</w:t>
            </w:r>
          </w:p>
        </w:tc>
      </w:tr>
      <w:tr w:rsidR="0081200B" w14:paraId="4E4599ED"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2B2CB10"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024E57B"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28449C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0FCDBB"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F5634BF" wp14:editId="09327176">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15468CE"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81200B" w14:paraId="055B1D32"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5F2EF2EF"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72AB2DC"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C1C7B50"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44.4%</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BB37A49"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F3768D2" wp14:editId="3BBD3FE4">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F6734A3"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47.2%</w:t>
            </w:r>
          </w:p>
        </w:tc>
      </w:tr>
      <w:tr w:rsidR="0081200B" w14:paraId="59027FC7"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37BC1B0"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DC22B19"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CFC0D5C"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49.3%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C9973D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648F48E" wp14:editId="17DAC68D">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5FEBF6D"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49.0%</w:t>
            </w:r>
          </w:p>
        </w:tc>
      </w:tr>
      <w:tr w:rsidR="0081200B" w14:paraId="110F6EBA"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4FECE490"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09380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B7954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7E77141"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EFFD654" wp14:editId="77CE3CD0">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4F0B2FD"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81200B" w14:paraId="244E8201"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8178EBE"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ACBD933"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95872FC"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62.7%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140183F"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DFFF1C5" wp14:editId="1EEAF64C">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2EEF58B"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63.8%</w:t>
            </w:r>
          </w:p>
        </w:tc>
      </w:tr>
      <w:tr w:rsidR="0081200B" w14:paraId="5BCA80AE"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2DE3628"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1D08C8C"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8ACC5F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53.8%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733EFF9"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6F79262" wp14:editId="52B78C19">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E89E95E"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54.1%</w:t>
            </w:r>
          </w:p>
        </w:tc>
      </w:tr>
      <w:tr w:rsidR="0081200B" w14:paraId="3293B788"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2B782A2"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51B3826"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045E59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485D640"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6867465" wp14:editId="4F2C3450">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7D7953E0"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67F49952" w14:textId="77777777" w:rsidR="0081200B" w:rsidRDefault="006D66CB">
      <w:pPr>
        <w:pStyle w:val="Heading31"/>
      </w:pPr>
      <w:bookmarkStart w:id="18" w:name="naplan-relative-growth"/>
      <w:bookmarkEnd w:id="17"/>
      <w:r>
        <w:t>NAPLAN relative growth</w:t>
      </w:r>
    </w:p>
    <w:p w14:paraId="2DAAD27B" w14:textId="77777777" w:rsidR="0081200B" w:rsidRDefault="006D66CB">
      <w:r>
        <w:t>The percentage of students in the High and Medium relative growth categories.</w:t>
      </w:r>
    </w:p>
    <w:p w14:paraId="0D597D8C" w14:textId="77777777" w:rsidR="0081200B" w:rsidRDefault="006D66CB">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3D321490" w14:textId="77777777" w:rsidR="0081200B" w:rsidRDefault="006D66CB">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81200B" w14:paraId="098B0C3D"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54BB4B3"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4600F72"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43D48C6"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E1DD541"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81200B" w14:paraId="4466FF11"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66129BF"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88B56F5"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493D54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66A3B04"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DDFB0EF" wp14:editId="3993B2CA">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r>
      <w:tr w:rsidR="0081200B" w14:paraId="3228E483"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E53F742"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6416EC7"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7438CE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82489F"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23ED3DC" wp14:editId="6F528F03">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r>
      <w:tr w:rsidR="0081200B" w14:paraId="5A33AED3"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65D34CE1"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6394507"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E1A0FF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E311EF"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D455C1A" wp14:editId="78EB2E94">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r w:rsidR="0081200B" w14:paraId="0F930561"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BC6CCEA"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4AFF4F0"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D54836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76.3%</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E424662"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166DB80" wp14:editId="11FFA188">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r>
      <w:tr w:rsidR="0081200B" w14:paraId="303CB838"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64223AC"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5F3144"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8F19E86"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85B4397"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6E4A4C4" wp14:editId="5C91BC2F">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81200B" w14:paraId="40D3F29B"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474174F"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4AEF8CF"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78BDF2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BFC158F"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DED2DC4" wp14:editId="6F01981C">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bl>
    <w:p w14:paraId="1E0EEE44" w14:textId="77777777" w:rsidR="0081200B" w:rsidRDefault="006D66CB">
      <w:r>
        <w:br w:type="page"/>
      </w:r>
    </w:p>
    <w:p w14:paraId="3DD764E5" w14:textId="77777777" w:rsidR="0081200B" w:rsidRDefault="006D66CB">
      <w:pPr>
        <w:pStyle w:val="Heading21"/>
      </w:pPr>
      <w:bookmarkStart w:id="19" w:name="wellbeing"/>
      <w:bookmarkEnd w:id="18"/>
      <w:bookmarkEnd w:id="15"/>
      <w:r>
        <w:lastRenderedPageBreak/>
        <w:t>WELLBEING</w:t>
      </w:r>
    </w:p>
    <w:p w14:paraId="0B4675E5" w14:textId="77777777" w:rsidR="0081200B" w:rsidRDefault="006D66CB">
      <w:pPr>
        <w:pStyle w:val="Heading31"/>
      </w:pPr>
      <w:bookmarkStart w:id="20" w:name="X4f312c496442aa9386762e79446d80aa9d20262"/>
      <w:r>
        <w:t>Student Attitudes to School – Sense of Connectedness</w:t>
      </w:r>
    </w:p>
    <w:p w14:paraId="2925775C" w14:textId="77777777" w:rsidR="0081200B" w:rsidRDefault="006D66CB">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81200B" w14:paraId="0E73A886"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1D60BB7F"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305BE05"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E579937"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19D8CD3"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4305D2F"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81200B" w14:paraId="472918FA"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614C4FF"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5D61378"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0B5E292"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69.0%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CC1DE2B"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B355732" wp14:editId="385ED7BB">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474FD5F"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69.5%</w:t>
            </w:r>
          </w:p>
        </w:tc>
      </w:tr>
      <w:tr w:rsidR="0081200B" w14:paraId="062E0FC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EB00537"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1C4D305"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6E01798"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DF60593"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986EE1D" wp14:editId="38698575">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240ACB3"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78.8%</w:t>
            </w:r>
          </w:p>
        </w:tc>
      </w:tr>
      <w:tr w:rsidR="0081200B" w14:paraId="7452DC83"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01FA9A6"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9BC0ECD"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90A055"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63B48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331B8D0" wp14:editId="658BDF33">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5122645"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29E27751" w14:textId="77777777" w:rsidR="0081200B" w:rsidRDefault="006D66CB">
      <w:pPr>
        <w:pStyle w:val="Heading31"/>
      </w:pPr>
      <w:bookmarkStart w:id="21" w:name="X6b86cdeac7af42d7b3a46c94b02d37acd34cd49"/>
      <w:bookmarkEnd w:id="20"/>
      <w:r>
        <w:t>Student Attitudes to School – Managing Bullying</w:t>
      </w:r>
    </w:p>
    <w:p w14:paraId="70081D4A" w14:textId="77777777" w:rsidR="0081200B" w:rsidRDefault="006D66CB">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81200B" w14:paraId="6C303A87"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25888F0"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98A05C7"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F0C6BAD"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A8BA828"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ABEFE57"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81200B" w14:paraId="6A2A8655"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1422E9A"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302909B"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47248C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70.6%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F5FA6AF"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1FE86FC" wp14:editId="5C8D5B1F">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038A429F"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73.3%</w:t>
            </w:r>
          </w:p>
        </w:tc>
      </w:tr>
      <w:tr w:rsidR="0081200B" w14:paraId="76C1FBCC"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C704A09"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AD52F55"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F85B7A7"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7E3718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ED8B7B" wp14:editId="750CB1A4">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5B8775E0"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77.1%</w:t>
            </w:r>
          </w:p>
        </w:tc>
      </w:tr>
      <w:tr w:rsidR="0081200B" w14:paraId="6F60987B"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AE5B0C2"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8BAA87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DDBA98"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4C192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307D71E" wp14:editId="5ED45B29">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66D04DF"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67C68CBC" w14:textId="77777777" w:rsidR="0081200B" w:rsidRDefault="006D66CB">
      <w:r>
        <w:br w:type="page"/>
      </w:r>
    </w:p>
    <w:p w14:paraId="4711F16C" w14:textId="77777777" w:rsidR="0081200B" w:rsidRDefault="006D66CB">
      <w:pPr>
        <w:pStyle w:val="Heading21"/>
      </w:pPr>
      <w:bookmarkStart w:id="22" w:name="engagement"/>
      <w:bookmarkEnd w:id="21"/>
      <w:bookmarkEnd w:id="19"/>
      <w:r>
        <w:lastRenderedPageBreak/>
        <w:t>ENGAGEMENT</w:t>
      </w:r>
    </w:p>
    <w:p w14:paraId="16679002" w14:textId="77777777" w:rsidR="0081200B" w:rsidRDefault="006D66CB">
      <w:pPr>
        <w:pStyle w:val="Heading31"/>
      </w:pPr>
      <w:bookmarkStart w:id="23" w:name="average-absence-days-per-student"/>
      <w:r>
        <w:t>Average absence days per student</w:t>
      </w:r>
    </w:p>
    <w:p w14:paraId="1E0C530D" w14:textId="77777777" w:rsidR="0081200B" w:rsidRDefault="006D66CB">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81200B" w14:paraId="7C49A331"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59DAE7A6"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DF5A18C"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3435453"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906AD2D"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02E5397"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81200B" w14:paraId="2A319CC1"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00678C0"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3533199" w14:textId="77777777" w:rsidR="0081200B" w:rsidRDefault="006D66CB">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9A277E0"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8DD962E"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3BA15C2" wp14:editId="64E16022">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7D75055"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21.5</w:t>
            </w:r>
          </w:p>
        </w:tc>
      </w:tr>
      <w:tr w:rsidR="0081200B" w14:paraId="6DF1FBA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C5763B7" w14:textId="77777777" w:rsidR="0081200B" w:rsidRDefault="0081200B">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F9947E2" w14:textId="77777777" w:rsidR="0081200B" w:rsidRDefault="006D66CB">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667923A"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E618ED8"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31DC15" wp14:editId="54D4E267">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4FB1AACB" w14:textId="77777777" w:rsidR="0081200B" w:rsidRDefault="006D66CB">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22.3</w:t>
            </w:r>
          </w:p>
        </w:tc>
      </w:tr>
      <w:tr w:rsidR="0081200B" w14:paraId="0DDDDECD"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750CBB9" w14:textId="77777777" w:rsidR="0081200B" w:rsidRDefault="0081200B">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1A47B1B"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E13A13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21D6053"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5FE5BEB" wp14:editId="0A18F953">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1C052EB7" w14:textId="77777777" w:rsidR="0081200B" w:rsidRDefault="006D66CB">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13B91A6B" w14:textId="77777777" w:rsidR="0081200B" w:rsidRDefault="006D66CB">
      <w:pPr>
        <w:pStyle w:val="Heading31"/>
      </w:pPr>
      <w:bookmarkStart w:id="24" w:name="attendance-rate"/>
      <w:bookmarkEnd w:id="23"/>
      <w:r>
        <w:t>Attendance rate</w:t>
      </w:r>
    </w:p>
    <w:p w14:paraId="3F373A56" w14:textId="77777777" w:rsidR="0081200B" w:rsidRDefault="006D66CB">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81200B" w14:paraId="42E30A6E"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4C5C950"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2C8D442"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D83CBC9" w14:textId="77777777" w:rsidR="0081200B" w:rsidRDefault="006D66CB">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42D8F65" w14:textId="77777777" w:rsidR="0081200B" w:rsidRDefault="0081200B">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81200B" w14:paraId="4F336953"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B13F7A7"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8108567"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DAA20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A879A33"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B21AC68" wp14:editId="55E00804">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81200B" w14:paraId="2249EB1F"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25C63FB"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D744AF5"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16C6A60"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739DFC3"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EA07392" wp14:editId="3C7E7404">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56"/>
                          <a:stretch>
                            <a:fillRect/>
                          </a:stretch>
                        </pic:blipFill>
                        <pic:spPr bwMode="auto">
                          <a:xfrm>
                            <a:off x="0" y="0"/>
                            <a:ext cx="10160" cy="2540"/>
                          </a:xfrm>
                          <a:prstGeom prst="rect">
                            <a:avLst/>
                          </a:prstGeom>
                          <a:noFill/>
                        </pic:spPr>
                      </pic:pic>
                    </a:graphicData>
                  </a:graphic>
                </wp:inline>
              </w:drawing>
            </w:r>
          </w:p>
        </w:tc>
      </w:tr>
      <w:tr w:rsidR="0081200B" w14:paraId="4B3D5C3B"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8CDCF58"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A981698"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7A7A4D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56B2A2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A359E56" wp14:editId="56081DC3">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7"/>
                          <a:stretch>
                            <a:fillRect/>
                          </a:stretch>
                        </pic:blipFill>
                        <pic:spPr bwMode="auto">
                          <a:xfrm>
                            <a:off x="0" y="0"/>
                            <a:ext cx="10160" cy="2540"/>
                          </a:xfrm>
                          <a:prstGeom prst="rect">
                            <a:avLst/>
                          </a:prstGeom>
                          <a:noFill/>
                        </pic:spPr>
                      </pic:pic>
                    </a:graphicData>
                  </a:graphic>
                </wp:inline>
              </w:drawing>
            </w:r>
          </w:p>
        </w:tc>
      </w:tr>
      <w:tr w:rsidR="0081200B" w14:paraId="06FCDDB8"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C082E82"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0ECFA5C"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E4D59B1"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8768C9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06A977C" wp14:editId="64423B20">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58"/>
                          <a:stretch>
                            <a:fillRect/>
                          </a:stretch>
                        </pic:blipFill>
                        <pic:spPr bwMode="auto">
                          <a:xfrm>
                            <a:off x="0" y="0"/>
                            <a:ext cx="10160" cy="2540"/>
                          </a:xfrm>
                          <a:prstGeom prst="rect">
                            <a:avLst/>
                          </a:prstGeom>
                          <a:noFill/>
                        </pic:spPr>
                      </pic:pic>
                    </a:graphicData>
                  </a:graphic>
                </wp:inline>
              </w:drawing>
            </w:r>
          </w:p>
        </w:tc>
      </w:tr>
      <w:tr w:rsidR="0081200B" w14:paraId="6371FC33"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DD2934B"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69679C"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0B88A77"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2A4B2F3"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BE3149D" wp14:editId="319AAAA5">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7"/>
                          <a:stretch>
                            <a:fillRect/>
                          </a:stretch>
                        </pic:blipFill>
                        <pic:spPr bwMode="auto">
                          <a:xfrm>
                            <a:off x="0" y="0"/>
                            <a:ext cx="10160" cy="2540"/>
                          </a:xfrm>
                          <a:prstGeom prst="rect">
                            <a:avLst/>
                          </a:prstGeom>
                          <a:noFill/>
                        </pic:spPr>
                      </pic:pic>
                    </a:graphicData>
                  </a:graphic>
                </wp:inline>
              </w:drawing>
            </w:r>
          </w:p>
        </w:tc>
      </w:tr>
      <w:tr w:rsidR="0081200B" w14:paraId="3A309131"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6E52E42"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12C6BE0"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033384E"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90.7%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803F090"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5914D17" wp14:editId="02473A55">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81200B" w14:paraId="68E9CC4B"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743EC636"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746F569"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8419748"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75592B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1959398" wp14:editId="624BD0FC">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58"/>
                          <a:stretch>
                            <a:fillRect/>
                          </a:stretch>
                        </pic:blipFill>
                        <pic:spPr bwMode="auto">
                          <a:xfrm>
                            <a:off x="0" y="0"/>
                            <a:ext cx="10160" cy="2540"/>
                          </a:xfrm>
                          <a:prstGeom prst="rect">
                            <a:avLst/>
                          </a:prstGeom>
                          <a:noFill/>
                        </pic:spPr>
                      </pic:pic>
                    </a:graphicData>
                  </a:graphic>
                </wp:inline>
              </w:drawing>
            </w:r>
          </w:p>
        </w:tc>
      </w:tr>
    </w:tbl>
    <w:p w14:paraId="6C4F4F55" w14:textId="77777777" w:rsidR="0081200B" w:rsidRDefault="006D66CB">
      <w:r>
        <w:br w:type="page"/>
      </w:r>
    </w:p>
    <w:p w14:paraId="39A353E9" w14:textId="77777777" w:rsidR="0081200B" w:rsidRDefault="006D66CB">
      <w:pPr>
        <w:pStyle w:val="Heading11"/>
      </w:pPr>
      <w:bookmarkStart w:id="25" w:name="financial-performance-and-position"/>
      <w:bookmarkEnd w:id="24"/>
      <w:bookmarkEnd w:id="22"/>
      <w:bookmarkEnd w:id="9"/>
      <w:r>
        <w:lastRenderedPageBreak/>
        <w:t>FINANCIAL PERFORMANCE AND POSITION</w:t>
      </w:r>
    </w:p>
    <w:p w14:paraId="49D6D800" w14:textId="77777777" w:rsidR="0081200B" w:rsidRDefault="006D66CB">
      <w:pPr>
        <w:pStyle w:val="Heading21"/>
      </w:pPr>
      <w:bookmarkStart w:id="26" w:name="X783dfaa01abb5b9bede6e86f0b21a1e5c51f7c7"/>
      <w:r>
        <w:t>FINANCIAL PERFORMANCE - OPERATING STATEMENT SUMMARY FOR THE YEAR ENDING 31 DECEMBER 2025</w:t>
      </w:r>
    </w:p>
    <w:p w14:paraId="52296758" w14:textId="77777777" w:rsidR="0081200B" w:rsidRDefault="006D66CB">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81200B" w14:paraId="73AEB6FE"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96E71AA"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D0B404E"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81200B" w14:paraId="1956E25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0AF132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7D9F5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$5,365,655</w:t>
            </w:r>
          </w:p>
        </w:tc>
      </w:tr>
      <w:tr w:rsidR="0081200B" w14:paraId="5A0BDDD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34EDC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91E505"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$742,490</w:t>
            </w:r>
          </w:p>
        </w:tc>
      </w:tr>
      <w:tr w:rsidR="0081200B" w14:paraId="0383A4C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4A3F9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7696C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$3,432</w:t>
            </w:r>
          </w:p>
        </w:tc>
      </w:tr>
      <w:tr w:rsidR="0081200B" w14:paraId="49AA7A5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55B85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8CDA9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23D122D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24513F"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4D981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$68,825</w:t>
            </w:r>
          </w:p>
        </w:tc>
      </w:tr>
      <w:tr w:rsidR="0081200B" w14:paraId="03D01DD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31920E"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BCECA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$126,210</w:t>
            </w:r>
          </w:p>
        </w:tc>
      </w:tr>
      <w:tr w:rsidR="0081200B" w14:paraId="5D72020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1559C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21381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401ABE84"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9C3C1EB"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5F3413D"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$6,306,612</w:t>
            </w:r>
          </w:p>
        </w:tc>
      </w:tr>
    </w:tbl>
    <w:p w14:paraId="5D0BA35F" w14:textId="77777777" w:rsidR="0081200B" w:rsidRDefault="006D66CB">
      <w:r>
        <w:t> </w:t>
      </w:r>
    </w:p>
    <w:tbl>
      <w:tblPr>
        <w:tblW w:w="0" w:type="auto"/>
        <w:jc w:val="center"/>
        <w:tblLayout w:type="fixed"/>
        <w:tblLook w:val="0420" w:firstRow="1" w:lastRow="0" w:firstColumn="0" w:lastColumn="0" w:noHBand="0" w:noVBand="1"/>
      </w:tblPr>
      <w:tblGrid>
        <w:gridCol w:w="7632"/>
        <w:gridCol w:w="2592"/>
      </w:tblGrid>
      <w:tr w:rsidR="0081200B" w14:paraId="50389E9A"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287500D"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3C16C2B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81200B" w14:paraId="4CFA11F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2955A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C7F475"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$558,588</w:t>
            </w:r>
          </w:p>
        </w:tc>
      </w:tr>
      <w:tr w:rsidR="0081200B" w14:paraId="624D7E8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08FBBBF"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225CC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577A049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1FBEB24"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78A5B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3E8E46EE"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F0F0E03"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F997E4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$558,588</w:t>
            </w:r>
          </w:p>
        </w:tc>
      </w:tr>
      <w:tr w:rsidR="0081200B" w14:paraId="0F715422"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7343E9E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09B550BB" w14:textId="77777777" w:rsidR="0081200B" w:rsidRDefault="006D66CB">
      <w:r>
        <w:t> </w:t>
      </w:r>
    </w:p>
    <w:tbl>
      <w:tblPr>
        <w:tblW w:w="0" w:type="auto"/>
        <w:jc w:val="center"/>
        <w:tblLayout w:type="fixed"/>
        <w:tblLook w:val="0420" w:firstRow="1" w:lastRow="0" w:firstColumn="0" w:lastColumn="0" w:noHBand="0" w:noVBand="1"/>
      </w:tblPr>
      <w:tblGrid>
        <w:gridCol w:w="7632"/>
        <w:gridCol w:w="2592"/>
      </w:tblGrid>
      <w:tr w:rsidR="0081200B" w14:paraId="10652D2D"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0BE6C824"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F98B50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81200B" w14:paraId="1D8115C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82DF35"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B9AF25"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$4,755,643</w:t>
            </w:r>
          </w:p>
        </w:tc>
      </w:tr>
      <w:tr w:rsidR="0081200B" w14:paraId="30BC2EC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2E40F2"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7E7E33"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6AE3C70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5BC11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0A802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$7,689</w:t>
            </w:r>
          </w:p>
        </w:tc>
      </w:tr>
      <w:tr w:rsidR="0081200B" w14:paraId="5B42C8D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57A72B"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B5030D"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$67,856</w:t>
            </w:r>
          </w:p>
        </w:tc>
      </w:tr>
      <w:tr w:rsidR="0081200B" w14:paraId="1688550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1EAB2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98DDF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$4,438</w:t>
            </w:r>
          </w:p>
        </w:tc>
      </w:tr>
      <w:tr w:rsidR="0081200B" w14:paraId="44204A2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32B08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AB13B8"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$113,716</w:t>
            </w:r>
          </w:p>
        </w:tc>
      </w:tr>
      <w:tr w:rsidR="0081200B" w14:paraId="7690CC4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CA22AC"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A0EC2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$59,681</w:t>
            </w:r>
          </w:p>
        </w:tc>
      </w:tr>
      <w:tr w:rsidR="0081200B" w14:paraId="759910B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F931B5"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F4C0E7"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$211,019</w:t>
            </w:r>
          </w:p>
        </w:tc>
      </w:tr>
      <w:tr w:rsidR="0081200B" w14:paraId="2C54889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23428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BC0D3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$33,048</w:t>
            </w:r>
          </w:p>
        </w:tc>
      </w:tr>
      <w:tr w:rsidR="0081200B" w14:paraId="3E46E11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209FCBA"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431318E"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$168,554</w:t>
            </w:r>
          </w:p>
        </w:tc>
      </w:tr>
      <w:tr w:rsidR="0081200B" w14:paraId="4C9C47A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35F44A"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E998E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$62,538</w:t>
            </w:r>
          </w:p>
        </w:tc>
      </w:tr>
      <w:tr w:rsidR="0081200B" w14:paraId="6539192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75112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1FF650"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$4,114</w:t>
            </w:r>
          </w:p>
        </w:tc>
      </w:tr>
      <w:tr w:rsidR="0081200B" w14:paraId="2DE0B84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87C37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61A41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$218,523</w:t>
            </w:r>
          </w:p>
        </w:tc>
      </w:tr>
      <w:tr w:rsidR="0081200B" w14:paraId="2E0BB08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0994C5"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79D066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$28,241</w:t>
            </w:r>
          </w:p>
        </w:tc>
      </w:tr>
      <w:tr w:rsidR="0081200B" w14:paraId="6CB77AC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7F0DD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42EE2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5B11A39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EEF77E"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9981B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4673D27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EBCCEF6"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5C92AD"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$52,151</w:t>
            </w:r>
          </w:p>
        </w:tc>
      </w:tr>
      <w:tr w:rsidR="0081200B" w14:paraId="41B153E7"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45EBE81"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1BF4470"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$5,787,211</w:t>
            </w:r>
          </w:p>
        </w:tc>
      </w:tr>
      <w:tr w:rsidR="0081200B" w14:paraId="5C136D23"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AECAF3E"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50BADB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$519,401</w:t>
            </w:r>
          </w:p>
        </w:tc>
      </w:tr>
      <w:tr w:rsidR="0081200B" w14:paraId="4F054FE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04ED212"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ADDEE2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$34,235</w:t>
            </w:r>
          </w:p>
        </w:tc>
      </w:tr>
      <w:tr w:rsidR="0081200B" w14:paraId="7F7083C5"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19D79B60"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81200B" w14:paraId="23B98226"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A7C0ADD"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81200B" w14:paraId="2F33D2FD"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1EC2B8AF"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7231FD56" w14:textId="77777777" w:rsidR="0081200B" w:rsidRDefault="006D66CB">
      <w:r>
        <w:t> </w:t>
      </w:r>
    </w:p>
    <w:p w14:paraId="02D0CCC0" w14:textId="77777777" w:rsidR="0081200B" w:rsidRDefault="006D66CB">
      <w:r>
        <w:br w:type="page"/>
      </w:r>
    </w:p>
    <w:p w14:paraId="1F4B82A5" w14:textId="77777777" w:rsidR="0081200B" w:rsidRDefault="006D66CB">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81200B" w14:paraId="078F3BBF"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EDFC3D2"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59680B88"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81200B" w14:paraId="195DDAE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F3D1F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CB1127"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$1,245,904</w:t>
            </w:r>
          </w:p>
        </w:tc>
      </w:tr>
      <w:tr w:rsidR="0081200B" w14:paraId="5C7CEB7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A30883"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98A5F75"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$39,547</w:t>
            </w:r>
          </w:p>
        </w:tc>
      </w:tr>
      <w:tr w:rsidR="0081200B" w14:paraId="6DC426F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62E80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6C8200"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61BD5A60"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916EFCD"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FFA55E1"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$1,285,451</w:t>
            </w:r>
          </w:p>
        </w:tc>
      </w:tr>
    </w:tbl>
    <w:p w14:paraId="3840F336" w14:textId="77777777" w:rsidR="0081200B" w:rsidRDefault="006D66CB">
      <w:r>
        <w:t> </w:t>
      </w:r>
    </w:p>
    <w:tbl>
      <w:tblPr>
        <w:tblW w:w="0" w:type="auto"/>
        <w:jc w:val="center"/>
        <w:tblLayout w:type="fixed"/>
        <w:tblLook w:val="0420" w:firstRow="1" w:lastRow="0" w:firstColumn="0" w:lastColumn="0" w:noHBand="0" w:noVBand="1"/>
      </w:tblPr>
      <w:tblGrid>
        <w:gridCol w:w="7632"/>
        <w:gridCol w:w="2592"/>
      </w:tblGrid>
      <w:tr w:rsidR="0081200B" w14:paraId="44A8A957"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2EBF2C65"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716E6FF"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81200B" w14:paraId="1E0F116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754D3E"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2106CF"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$171,928</w:t>
            </w:r>
          </w:p>
        </w:tc>
      </w:tr>
      <w:tr w:rsidR="0081200B" w14:paraId="253078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31AC2CE"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4B0296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5355CAF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F8DC56A"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DB4795"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0CBC7BF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D58232D"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4A26B9"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$119,232</w:t>
            </w:r>
          </w:p>
        </w:tc>
      </w:tr>
      <w:tr w:rsidR="0081200B" w14:paraId="6E94F9A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EBCC9B"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151A0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$89,974</w:t>
            </w:r>
          </w:p>
        </w:tc>
      </w:tr>
      <w:tr w:rsidR="0081200B" w14:paraId="0E6D799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43962F6"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9670AE"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36BA44F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DF2A91"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70CECC"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2E8BE57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F3D3C7"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10474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7C15EF2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EE91D8"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65DEB3B"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7F41C36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849843"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D22E2A"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$204,100</w:t>
            </w:r>
          </w:p>
        </w:tc>
      </w:tr>
      <w:tr w:rsidR="0081200B" w14:paraId="750FCAC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F2C8A0"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507533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7AEA1B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E2384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963131"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04358CD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303969"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171962"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$268,200</w:t>
            </w:r>
          </w:p>
        </w:tc>
      </w:tr>
      <w:tr w:rsidR="0081200B" w14:paraId="6987F89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568BC1F"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05A49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81200B" w14:paraId="5916294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589A7D" w14:textId="77777777" w:rsidR="0081200B" w:rsidRDefault="006D66CB">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2B7AE4"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$432,017</w:t>
            </w:r>
          </w:p>
        </w:tc>
      </w:tr>
      <w:tr w:rsidR="0081200B" w14:paraId="2F10225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239BE2B" w14:textId="77777777" w:rsidR="0081200B" w:rsidRDefault="006D66CB">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C414566" w14:textId="77777777" w:rsidR="0081200B" w:rsidRDefault="006D66CB">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$1,285,451</w:t>
            </w:r>
          </w:p>
        </w:tc>
      </w:tr>
    </w:tbl>
    <w:p w14:paraId="19030821" w14:textId="77777777" w:rsidR="0081200B" w:rsidRDefault="006D66CB">
      <w:r>
        <w:t> </w:t>
      </w:r>
    </w:p>
    <w:p w14:paraId="245B9243" w14:textId="77777777" w:rsidR="0081200B" w:rsidRDefault="006D66CB">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7"/>
    <w:bookmarkEnd w:id="25"/>
    <w:p w14:paraId="6806D7A0" w14:textId="77777777" w:rsidR="0081200B" w:rsidRDefault="0081200B"/>
    <w:sectPr w:rsidR="0081200B">
      <w:footerReference w:type="default" r:id="rId59"/>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4884" w14:textId="77777777" w:rsidR="006D66CB" w:rsidRDefault="006D66CB">
      <w:pPr>
        <w:spacing w:before="0" w:after="0" w:line="240" w:lineRule="auto"/>
      </w:pPr>
      <w:r>
        <w:separator/>
      </w:r>
    </w:p>
  </w:endnote>
  <w:endnote w:type="continuationSeparator" w:id="0">
    <w:p w14:paraId="410ECB45" w14:textId="77777777" w:rsidR="006D66CB" w:rsidRDefault="006D66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8C32" w14:textId="77777777" w:rsidR="006D66CB" w:rsidRDefault="006D66CB"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053630F" w14:textId="77777777" w:rsidR="006D66CB" w:rsidRDefault="006D66CB"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0B0AC1DF" w14:textId="77777777" w:rsidR="006D66CB" w:rsidRDefault="006D66CB"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3ADAEAF3" wp14:editId="7B74461D">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36BC30D9" w14:textId="77777777" w:rsidR="006D66CB" w:rsidRPr="003E29B5" w:rsidRDefault="006D66CB"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944C" w14:textId="77777777" w:rsidR="006D66CB" w:rsidRDefault="006D66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8B9D" w14:textId="6420C648" w:rsidR="0081200B" w:rsidRDefault="006D66CB">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Hallam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CD7" w14:textId="77777777" w:rsidR="006D66CB" w:rsidRDefault="006D66CB">
      <w:pPr>
        <w:spacing w:before="0" w:after="0" w:line="240" w:lineRule="auto"/>
      </w:pPr>
      <w:r>
        <w:separator/>
      </w:r>
    </w:p>
  </w:footnote>
  <w:footnote w:type="continuationSeparator" w:id="0">
    <w:p w14:paraId="70C77FD7" w14:textId="77777777" w:rsidR="006D66CB" w:rsidRDefault="006D66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B8BB" w14:textId="77777777" w:rsidR="006D66CB" w:rsidRDefault="006D66CB">
    <w:r>
      <w:rPr>
        <w:noProof/>
        <w:lang w:eastAsia="en-AU"/>
      </w:rPr>
      <mc:AlternateContent>
        <mc:Choice Requires="wps">
          <w:drawing>
            <wp:anchor distT="0" distB="0" distL="114300" distR="114300" simplePos="0" relativeHeight="251660288" behindDoc="0" locked="0" layoutInCell="1" allowOverlap="1" wp14:anchorId="0C083044" wp14:editId="31306650">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6F199B20" w14:textId="77777777" w:rsidR="006D66CB" w:rsidRDefault="006D66C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F266" w14:textId="77777777" w:rsidR="006D66CB" w:rsidRDefault="006D66CB" w:rsidP="000813BF">
    <w:pPr>
      <w:pStyle w:val="Header"/>
      <w:tabs>
        <w:tab w:val="clear" w:pos="4513"/>
        <w:tab w:val="clear" w:pos="9026"/>
      </w:tabs>
      <w:ind w:left="-562" w:right="259"/>
    </w:pPr>
    <w:r>
      <w:rPr>
        <w:noProof/>
      </w:rPr>
      <w:drawing>
        <wp:inline distT="0" distB="0" distL="0" distR="0" wp14:anchorId="28D1DB16" wp14:editId="15CEB489">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35F0A192" wp14:editId="6B73218C">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CE8B" w14:textId="77777777" w:rsidR="006D66CB" w:rsidRDefault="006D66CB">
    <w:r>
      <w:rPr>
        <w:noProof/>
        <w:lang w:eastAsia="en-AU"/>
      </w:rPr>
      <mc:AlternateContent>
        <mc:Choice Requires="wps">
          <w:drawing>
            <wp:anchor distT="0" distB="0" distL="114300" distR="114300" simplePos="0" relativeHeight="251658240" behindDoc="0" locked="0" layoutInCell="1" allowOverlap="1" wp14:anchorId="36B2BE92" wp14:editId="0245C095">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5CFB8100" w14:textId="77777777" w:rsidR="006D66CB" w:rsidRDefault="006D66CB"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3C004DB6">
      <w:start w:val="1"/>
      <w:numFmt w:val="bullet"/>
      <w:pStyle w:val="Bullet2"/>
      <w:lvlText w:val="–"/>
      <w:lvlJc w:val="left"/>
      <w:pPr>
        <w:ind w:left="644" w:hanging="360"/>
      </w:pPr>
      <w:rPr>
        <w:rFonts w:ascii="Arial" w:hAnsi="Arial" w:hint="default"/>
        <w:b w:val="0"/>
        <w:i w:val="0"/>
      </w:rPr>
    </w:lvl>
    <w:lvl w:ilvl="1" w:tplc="ADF2BEB8" w:tentative="1">
      <w:start w:val="1"/>
      <w:numFmt w:val="bullet"/>
      <w:lvlText w:val="o"/>
      <w:lvlJc w:val="left"/>
      <w:pPr>
        <w:ind w:left="1440" w:hanging="360"/>
      </w:pPr>
      <w:rPr>
        <w:rFonts w:ascii="Courier New" w:hAnsi="Courier New" w:cs="Courier New" w:hint="default"/>
      </w:rPr>
    </w:lvl>
    <w:lvl w:ilvl="2" w:tplc="4AAE8BD0" w:tentative="1">
      <w:start w:val="1"/>
      <w:numFmt w:val="bullet"/>
      <w:lvlText w:val=""/>
      <w:lvlJc w:val="left"/>
      <w:pPr>
        <w:ind w:left="2160" w:hanging="360"/>
      </w:pPr>
      <w:rPr>
        <w:rFonts w:ascii="Wingdings" w:hAnsi="Wingdings" w:hint="default"/>
      </w:rPr>
    </w:lvl>
    <w:lvl w:ilvl="3" w:tplc="1A72E926" w:tentative="1">
      <w:start w:val="1"/>
      <w:numFmt w:val="bullet"/>
      <w:lvlText w:val=""/>
      <w:lvlJc w:val="left"/>
      <w:pPr>
        <w:ind w:left="2880" w:hanging="360"/>
      </w:pPr>
      <w:rPr>
        <w:rFonts w:ascii="Symbol" w:hAnsi="Symbol" w:hint="default"/>
      </w:rPr>
    </w:lvl>
    <w:lvl w:ilvl="4" w:tplc="036CB6DC" w:tentative="1">
      <w:start w:val="1"/>
      <w:numFmt w:val="bullet"/>
      <w:lvlText w:val="o"/>
      <w:lvlJc w:val="left"/>
      <w:pPr>
        <w:ind w:left="3600" w:hanging="360"/>
      </w:pPr>
      <w:rPr>
        <w:rFonts w:ascii="Courier New" w:hAnsi="Courier New" w:cs="Courier New" w:hint="default"/>
      </w:rPr>
    </w:lvl>
    <w:lvl w:ilvl="5" w:tplc="9E5498AE" w:tentative="1">
      <w:start w:val="1"/>
      <w:numFmt w:val="bullet"/>
      <w:lvlText w:val=""/>
      <w:lvlJc w:val="left"/>
      <w:pPr>
        <w:ind w:left="4320" w:hanging="360"/>
      </w:pPr>
      <w:rPr>
        <w:rFonts w:ascii="Wingdings" w:hAnsi="Wingdings" w:hint="default"/>
      </w:rPr>
    </w:lvl>
    <w:lvl w:ilvl="6" w:tplc="B4CA4CF4" w:tentative="1">
      <w:start w:val="1"/>
      <w:numFmt w:val="bullet"/>
      <w:lvlText w:val=""/>
      <w:lvlJc w:val="left"/>
      <w:pPr>
        <w:ind w:left="5040" w:hanging="360"/>
      </w:pPr>
      <w:rPr>
        <w:rFonts w:ascii="Symbol" w:hAnsi="Symbol" w:hint="default"/>
      </w:rPr>
    </w:lvl>
    <w:lvl w:ilvl="7" w:tplc="B49A0DF0" w:tentative="1">
      <w:start w:val="1"/>
      <w:numFmt w:val="bullet"/>
      <w:lvlText w:val="o"/>
      <w:lvlJc w:val="left"/>
      <w:pPr>
        <w:ind w:left="5760" w:hanging="360"/>
      </w:pPr>
      <w:rPr>
        <w:rFonts w:ascii="Courier New" w:hAnsi="Courier New" w:cs="Courier New" w:hint="default"/>
      </w:rPr>
    </w:lvl>
    <w:lvl w:ilvl="8" w:tplc="1E0C049E"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2DC40156">
      <w:numFmt w:val="bullet"/>
      <w:lvlText w:val="•"/>
      <w:lvlJc w:val="left"/>
      <w:pPr>
        <w:ind w:left="1080" w:hanging="720"/>
      </w:pPr>
      <w:rPr>
        <w:rFonts w:ascii="Arial" w:eastAsiaTheme="minorEastAsia" w:hAnsi="Arial" w:cs="Arial" w:hint="default"/>
      </w:rPr>
    </w:lvl>
    <w:lvl w:ilvl="1" w:tplc="81C018A6" w:tentative="1">
      <w:start w:val="1"/>
      <w:numFmt w:val="bullet"/>
      <w:lvlText w:val="o"/>
      <w:lvlJc w:val="left"/>
      <w:pPr>
        <w:ind w:left="1440" w:hanging="360"/>
      </w:pPr>
      <w:rPr>
        <w:rFonts w:ascii="Courier New" w:hAnsi="Courier New" w:cs="Courier New" w:hint="default"/>
      </w:rPr>
    </w:lvl>
    <w:lvl w:ilvl="2" w:tplc="0F94FA70" w:tentative="1">
      <w:start w:val="1"/>
      <w:numFmt w:val="bullet"/>
      <w:lvlText w:val=""/>
      <w:lvlJc w:val="left"/>
      <w:pPr>
        <w:ind w:left="2160" w:hanging="360"/>
      </w:pPr>
      <w:rPr>
        <w:rFonts w:ascii="Wingdings" w:hAnsi="Wingdings" w:hint="default"/>
      </w:rPr>
    </w:lvl>
    <w:lvl w:ilvl="3" w:tplc="5B9E382A" w:tentative="1">
      <w:start w:val="1"/>
      <w:numFmt w:val="bullet"/>
      <w:lvlText w:val=""/>
      <w:lvlJc w:val="left"/>
      <w:pPr>
        <w:ind w:left="2880" w:hanging="360"/>
      </w:pPr>
      <w:rPr>
        <w:rFonts w:ascii="Symbol" w:hAnsi="Symbol" w:hint="default"/>
      </w:rPr>
    </w:lvl>
    <w:lvl w:ilvl="4" w:tplc="2E747478" w:tentative="1">
      <w:start w:val="1"/>
      <w:numFmt w:val="bullet"/>
      <w:lvlText w:val="o"/>
      <w:lvlJc w:val="left"/>
      <w:pPr>
        <w:ind w:left="3600" w:hanging="360"/>
      </w:pPr>
      <w:rPr>
        <w:rFonts w:ascii="Courier New" w:hAnsi="Courier New" w:cs="Courier New" w:hint="default"/>
      </w:rPr>
    </w:lvl>
    <w:lvl w:ilvl="5" w:tplc="BC407A10" w:tentative="1">
      <w:start w:val="1"/>
      <w:numFmt w:val="bullet"/>
      <w:lvlText w:val=""/>
      <w:lvlJc w:val="left"/>
      <w:pPr>
        <w:ind w:left="4320" w:hanging="360"/>
      </w:pPr>
      <w:rPr>
        <w:rFonts w:ascii="Wingdings" w:hAnsi="Wingdings" w:hint="default"/>
      </w:rPr>
    </w:lvl>
    <w:lvl w:ilvl="6" w:tplc="47CE05E4" w:tentative="1">
      <w:start w:val="1"/>
      <w:numFmt w:val="bullet"/>
      <w:lvlText w:val=""/>
      <w:lvlJc w:val="left"/>
      <w:pPr>
        <w:ind w:left="5040" w:hanging="360"/>
      </w:pPr>
      <w:rPr>
        <w:rFonts w:ascii="Symbol" w:hAnsi="Symbol" w:hint="default"/>
      </w:rPr>
    </w:lvl>
    <w:lvl w:ilvl="7" w:tplc="38380C3A" w:tentative="1">
      <w:start w:val="1"/>
      <w:numFmt w:val="bullet"/>
      <w:lvlText w:val="o"/>
      <w:lvlJc w:val="left"/>
      <w:pPr>
        <w:ind w:left="5760" w:hanging="360"/>
      </w:pPr>
      <w:rPr>
        <w:rFonts w:ascii="Courier New" w:hAnsi="Courier New" w:cs="Courier New" w:hint="default"/>
      </w:rPr>
    </w:lvl>
    <w:lvl w:ilvl="8" w:tplc="8E7A4BF8"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3B3A9518">
      <w:start w:val="1"/>
      <w:numFmt w:val="bullet"/>
      <w:lvlText w:val=""/>
      <w:lvlJc w:val="left"/>
      <w:pPr>
        <w:ind w:left="720" w:hanging="360"/>
      </w:pPr>
      <w:rPr>
        <w:rFonts w:ascii="Symbol" w:hAnsi="Symbol" w:hint="default"/>
      </w:rPr>
    </w:lvl>
    <w:lvl w:ilvl="1" w:tplc="4C1AE728" w:tentative="1">
      <w:start w:val="1"/>
      <w:numFmt w:val="bullet"/>
      <w:lvlText w:val="o"/>
      <w:lvlJc w:val="left"/>
      <w:pPr>
        <w:ind w:left="1440" w:hanging="360"/>
      </w:pPr>
      <w:rPr>
        <w:rFonts w:ascii="Courier New" w:hAnsi="Courier New" w:cs="Courier New" w:hint="default"/>
      </w:rPr>
    </w:lvl>
    <w:lvl w:ilvl="2" w:tplc="694AAAC8" w:tentative="1">
      <w:start w:val="1"/>
      <w:numFmt w:val="bullet"/>
      <w:lvlText w:val=""/>
      <w:lvlJc w:val="left"/>
      <w:pPr>
        <w:ind w:left="2160" w:hanging="360"/>
      </w:pPr>
      <w:rPr>
        <w:rFonts w:ascii="Wingdings" w:hAnsi="Wingdings" w:hint="default"/>
      </w:rPr>
    </w:lvl>
    <w:lvl w:ilvl="3" w:tplc="52B68D0E" w:tentative="1">
      <w:start w:val="1"/>
      <w:numFmt w:val="bullet"/>
      <w:lvlText w:val=""/>
      <w:lvlJc w:val="left"/>
      <w:pPr>
        <w:ind w:left="2880" w:hanging="360"/>
      </w:pPr>
      <w:rPr>
        <w:rFonts w:ascii="Symbol" w:hAnsi="Symbol" w:hint="default"/>
      </w:rPr>
    </w:lvl>
    <w:lvl w:ilvl="4" w:tplc="B75E2374" w:tentative="1">
      <w:start w:val="1"/>
      <w:numFmt w:val="bullet"/>
      <w:lvlText w:val="o"/>
      <w:lvlJc w:val="left"/>
      <w:pPr>
        <w:ind w:left="3600" w:hanging="360"/>
      </w:pPr>
      <w:rPr>
        <w:rFonts w:ascii="Courier New" w:hAnsi="Courier New" w:cs="Courier New" w:hint="default"/>
      </w:rPr>
    </w:lvl>
    <w:lvl w:ilvl="5" w:tplc="A5C4F70C" w:tentative="1">
      <w:start w:val="1"/>
      <w:numFmt w:val="bullet"/>
      <w:lvlText w:val=""/>
      <w:lvlJc w:val="left"/>
      <w:pPr>
        <w:ind w:left="4320" w:hanging="360"/>
      </w:pPr>
      <w:rPr>
        <w:rFonts w:ascii="Wingdings" w:hAnsi="Wingdings" w:hint="default"/>
      </w:rPr>
    </w:lvl>
    <w:lvl w:ilvl="6" w:tplc="2176F70C" w:tentative="1">
      <w:start w:val="1"/>
      <w:numFmt w:val="bullet"/>
      <w:lvlText w:val=""/>
      <w:lvlJc w:val="left"/>
      <w:pPr>
        <w:ind w:left="5040" w:hanging="360"/>
      </w:pPr>
      <w:rPr>
        <w:rFonts w:ascii="Symbol" w:hAnsi="Symbol" w:hint="default"/>
      </w:rPr>
    </w:lvl>
    <w:lvl w:ilvl="7" w:tplc="45867412" w:tentative="1">
      <w:start w:val="1"/>
      <w:numFmt w:val="bullet"/>
      <w:lvlText w:val="o"/>
      <w:lvlJc w:val="left"/>
      <w:pPr>
        <w:ind w:left="5760" w:hanging="360"/>
      </w:pPr>
      <w:rPr>
        <w:rFonts w:ascii="Courier New" w:hAnsi="Courier New" w:cs="Courier New" w:hint="default"/>
      </w:rPr>
    </w:lvl>
    <w:lvl w:ilvl="8" w:tplc="6D1C66C8"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7AF6D36E">
      <w:start w:val="1"/>
      <w:numFmt w:val="decimal"/>
      <w:pStyle w:val="Numberlist"/>
      <w:lvlText w:val="%1."/>
      <w:lvlJc w:val="left"/>
      <w:pPr>
        <w:ind w:left="720" w:hanging="360"/>
      </w:pPr>
    </w:lvl>
    <w:lvl w:ilvl="1" w:tplc="C22C8A62" w:tentative="1">
      <w:start w:val="1"/>
      <w:numFmt w:val="lowerLetter"/>
      <w:lvlText w:val="%2."/>
      <w:lvlJc w:val="left"/>
      <w:pPr>
        <w:ind w:left="1440" w:hanging="360"/>
      </w:pPr>
    </w:lvl>
    <w:lvl w:ilvl="2" w:tplc="642E941C" w:tentative="1">
      <w:start w:val="1"/>
      <w:numFmt w:val="lowerRoman"/>
      <w:lvlText w:val="%3."/>
      <w:lvlJc w:val="right"/>
      <w:pPr>
        <w:ind w:left="2160" w:hanging="180"/>
      </w:pPr>
    </w:lvl>
    <w:lvl w:ilvl="3" w:tplc="A294B4C2" w:tentative="1">
      <w:start w:val="1"/>
      <w:numFmt w:val="decimal"/>
      <w:lvlText w:val="%4."/>
      <w:lvlJc w:val="left"/>
      <w:pPr>
        <w:ind w:left="2880" w:hanging="360"/>
      </w:pPr>
    </w:lvl>
    <w:lvl w:ilvl="4" w:tplc="118EC8F4" w:tentative="1">
      <w:start w:val="1"/>
      <w:numFmt w:val="lowerLetter"/>
      <w:lvlText w:val="%5."/>
      <w:lvlJc w:val="left"/>
      <w:pPr>
        <w:ind w:left="3600" w:hanging="360"/>
      </w:pPr>
    </w:lvl>
    <w:lvl w:ilvl="5" w:tplc="D3D04898" w:tentative="1">
      <w:start w:val="1"/>
      <w:numFmt w:val="lowerRoman"/>
      <w:lvlText w:val="%6."/>
      <w:lvlJc w:val="right"/>
      <w:pPr>
        <w:ind w:left="4320" w:hanging="180"/>
      </w:pPr>
    </w:lvl>
    <w:lvl w:ilvl="6" w:tplc="5338E89C" w:tentative="1">
      <w:start w:val="1"/>
      <w:numFmt w:val="decimal"/>
      <w:lvlText w:val="%7."/>
      <w:lvlJc w:val="left"/>
      <w:pPr>
        <w:ind w:left="5040" w:hanging="360"/>
      </w:pPr>
    </w:lvl>
    <w:lvl w:ilvl="7" w:tplc="6F5441DE" w:tentative="1">
      <w:start w:val="1"/>
      <w:numFmt w:val="lowerLetter"/>
      <w:lvlText w:val="%8."/>
      <w:lvlJc w:val="left"/>
      <w:pPr>
        <w:ind w:left="5760" w:hanging="360"/>
      </w:pPr>
    </w:lvl>
    <w:lvl w:ilvl="8" w:tplc="5AFE5EEA"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FA9AA3A0">
      <w:start w:val="1"/>
      <w:numFmt w:val="bullet"/>
      <w:lvlText w:val="o"/>
      <w:lvlJc w:val="left"/>
      <w:pPr>
        <w:ind w:left="644" w:hanging="360"/>
      </w:pPr>
      <w:rPr>
        <w:rFonts w:ascii="Courier New" w:hAnsi="Courier New" w:cs="Courier New" w:hint="default"/>
      </w:rPr>
    </w:lvl>
    <w:lvl w:ilvl="1" w:tplc="CC8CB936" w:tentative="1">
      <w:start w:val="1"/>
      <w:numFmt w:val="bullet"/>
      <w:lvlText w:val="o"/>
      <w:lvlJc w:val="left"/>
      <w:pPr>
        <w:ind w:left="1440" w:hanging="360"/>
      </w:pPr>
      <w:rPr>
        <w:rFonts w:ascii="Courier New" w:hAnsi="Courier New" w:cs="Courier New" w:hint="default"/>
      </w:rPr>
    </w:lvl>
    <w:lvl w:ilvl="2" w:tplc="E22E90D0" w:tentative="1">
      <w:start w:val="1"/>
      <w:numFmt w:val="bullet"/>
      <w:lvlText w:val=""/>
      <w:lvlJc w:val="left"/>
      <w:pPr>
        <w:ind w:left="2160" w:hanging="360"/>
      </w:pPr>
      <w:rPr>
        <w:rFonts w:ascii="Wingdings" w:hAnsi="Wingdings" w:hint="default"/>
      </w:rPr>
    </w:lvl>
    <w:lvl w:ilvl="3" w:tplc="F35CC81A" w:tentative="1">
      <w:start w:val="1"/>
      <w:numFmt w:val="bullet"/>
      <w:lvlText w:val=""/>
      <w:lvlJc w:val="left"/>
      <w:pPr>
        <w:ind w:left="2880" w:hanging="360"/>
      </w:pPr>
      <w:rPr>
        <w:rFonts w:ascii="Symbol" w:hAnsi="Symbol" w:hint="default"/>
      </w:rPr>
    </w:lvl>
    <w:lvl w:ilvl="4" w:tplc="012C50F8" w:tentative="1">
      <w:start w:val="1"/>
      <w:numFmt w:val="bullet"/>
      <w:lvlText w:val="o"/>
      <w:lvlJc w:val="left"/>
      <w:pPr>
        <w:ind w:left="3600" w:hanging="360"/>
      </w:pPr>
      <w:rPr>
        <w:rFonts w:ascii="Courier New" w:hAnsi="Courier New" w:cs="Courier New" w:hint="default"/>
      </w:rPr>
    </w:lvl>
    <w:lvl w:ilvl="5" w:tplc="9EF49320" w:tentative="1">
      <w:start w:val="1"/>
      <w:numFmt w:val="bullet"/>
      <w:lvlText w:val=""/>
      <w:lvlJc w:val="left"/>
      <w:pPr>
        <w:ind w:left="4320" w:hanging="360"/>
      </w:pPr>
      <w:rPr>
        <w:rFonts w:ascii="Wingdings" w:hAnsi="Wingdings" w:hint="default"/>
      </w:rPr>
    </w:lvl>
    <w:lvl w:ilvl="6" w:tplc="DD882D86" w:tentative="1">
      <w:start w:val="1"/>
      <w:numFmt w:val="bullet"/>
      <w:lvlText w:val=""/>
      <w:lvlJc w:val="left"/>
      <w:pPr>
        <w:ind w:left="5040" w:hanging="360"/>
      </w:pPr>
      <w:rPr>
        <w:rFonts w:ascii="Symbol" w:hAnsi="Symbol" w:hint="default"/>
      </w:rPr>
    </w:lvl>
    <w:lvl w:ilvl="7" w:tplc="FBF21D78" w:tentative="1">
      <w:start w:val="1"/>
      <w:numFmt w:val="bullet"/>
      <w:lvlText w:val="o"/>
      <w:lvlJc w:val="left"/>
      <w:pPr>
        <w:ind w:left="5760" w:hanging="360"/>
      </w:pPr>
      <w:rPr>
        <w:rFonts w:ascii="Courier New" w:hAnsi="Courier New" w:cs="Courier New" w:hint="default"/>
      </w:rPr>
    </w:lvl>
    <w:lvl w:ilvl="8" w:tplc="D84EB58C"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69F8D3E8">
      <w:start w:val="1"/>
      <w:numFmt w:val="bullet"/>
      <w:lvlText w:val=""/>
      <w:lvlJc w:val="left"/>
      <w:pPr>
        <w:ind w:left="720" w:hanging="360"/>
      </w:pPr>
      <w:rPr>
        <w:rFonts w:ascii="Symbol" w:hAnsi="Symbol" w:hint="default"/>
      </w:rPr>
    </w:lvl>
    <w:lvl w:ilvl="1" w:tplc="EE62B04E" w:tentative="1">
      <w:start w:val="1"/>
      <w:numFmt w:val="bullet"/>
      <w:lvlText w:val="o"/>
      <w:lvlJc w:val="left"/>
      <w:pPr>
        <w:ind w:left="1440" w:hanging="360"/>
      </w:pPr>
      <w:rPr>
        <w:rFonts w:ascii="Courier New" w:hAnsi="Courier New" w:cs="Courier New" w:hint="default"/>
      </w:rPr>
    </w:lvl>
    <w:lvl w:ilvl="2" w:tplc="26FA9784" w:tentative="1">
      <w:start w:val="1"/>
      <w:numFmt w:val="bullet"/>
      <w:lvlText w:val=""/>
      <w:lvlJc w:val="left"/>
      <w:pPr>
        <w:ind w:left="2160" w:hanging="360"/>
      </w:pPr>
      <w:rPr>
        <w:rFonts w:ascii="Wingdings" w:hAnsi="Wingdings" w:hint="default"/>
      </w:rPr>
    </w:lvl>
    <w:lvl w:ilvl="3" w:tplc="33E078D0" w:tentative="1">
      <w:start w:val="1"/>
      <w:numFmt w:val="bullet"/>
      <w:lvlText w:val=""/>
      <w:lvlJc w:val="left"/>
      <w:pPr>
        <w:ind w:left="2880" w:hanging="360"/>
      </w:pPr>
      <w:rPr>
        <w:rFonts w:ascii="Symbol" w:hAnsi="Symbol" w:hint="default"/>
      </w:rPr>
    </w:lvl>
    <w:lvl w:ilvl="4" w:tplc="56DCC9D2" w:tentative="1">
      <w:start w:val="1"/>
      <w:numFmt w:val="bullet"/>
      <w:lvlText w:val="o"/>
      <w:lvlJc w:val="left"/>
      <w:pPr>
        <w:ind w:left="3600" w:hanging="360"/>
      </w:pPr>
      <w:rPr>
        <w:rFonts w:ascii="Courier New" w:hAnsi="Courier New" w:cs="Courier New" w:hint="default"/>
      </w:rPr>
    </w:lvl>
    <w:lvl w:ilvl="5" w:tplc="0822859A" w:tentative="1">
      <w:start w:val="1"/>
      <w:numFmt w:val="bullet"/>
      <w:lvlText w:val=""/>
      <w:lvlJc w:val="left"/>
      <w:pPr>
        <w:ind w:left="4320" w:hanging="360"/>
      </w:pPr>
      <w:rPr>
        <w:rFonts w:ascii="Wingdings" w:hAnsi="Wingdings" w:hint="default"/>
      </w:rPr>
    </w:lvl>
    <w:lvl w:ilvl="6" w:tplc="D1986CE6" w:tentative="1">
      <w:start w:val="1"/>
      <w:numFmt w:val="bullet"/>
      <w:lvlText w:val=""/>
      <w:lvlJc w:val="left"/>
      <w:pPr>
        <w:ind w:left="5040" w:hanging="360"/>
      </w:pPr>
      <w:rPr>
        <w:rFonts w:ascii="Symbol" w:hAnsi="Symbol" w:hint="default"/>
      </w:rPr>
    </w:lvl>
    <w:lvl w:ilvl="7" w:tplc="4B8CCFDA" w:tentative="1">
      <w:start w:val="1"/>
      <w:numFmt w:val="bullet"/>
      <w:lvlText w:val="o"/>
      <w:lvlJc w:val="left"/>
      <w:pPr>
        <w:ind w:left="5760" w:hanging="360"/>
      </w:pPr>
      <w:rPr>
        <w:rFonts w:ascii="Courier New" w:hAnsi="Courier New" w:cs="Courier New" w:hint="default"/>
      </w:rPr>
    </w:lvl>
    <w:lvl w:ilvl="8" w:tplc="5FD02B70"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DAD6FB20">
      <w:start w:val="1"/>
      <w:numFmt w:val="bullet"/>
      <w:lvlText w:val=""/>
      <w:lvlJc w:val="left"/>
      <w:pPr>
        <w:ind w:left="720" w:hanging="360"/>
      </w:pPr>
      <w:rPr>
        <w:rFonts w:ascii="Symbol" w:hAnsi="Symbol" w:hint="default"/>
      </w:rPr>
    </w:lvl>
    <w:lvl w:ilvl="1" w:tplc="C25A9B5E" w:tentative="1">
      <w:start w:val="1"/>
      <w:numFmt w:val="bullet"/>
      <w:lvlText w:val="o"/>
      <w:lvlJc w:val="left"/>
      <w:pPr>
        <w:ind w:left="1440" w:hanging="360"/>
      </w:pPr>
      <w:rPr>
        <w:rFonts w:ascii="Courier New" w:hAnsi="Courier New" w:cs="Courier New" w:hint="default"/>
      </w:rPr>
    </w:lvl>
    <w:lvl w:ilvl="2" w:tplc="13EEE532" w:tentative="1">
      <w:start w:val="1"/>
      <w:numFmt w:val="bullet"/>
      <w:lvlText w:val=""/>
      <w:lvlJc w:val="left"/>
      <w:pPr>
        <w:ind w:left="2160" w:hanging="360"/>
      </w:pPr>
      <w:rPr>
        <w:rFonts w:ascii="Wingdings" w:hAnsi="Wingdings" w:hint="default"/>
      </w:rPr>
    </w:lvl>
    <w:lvl w:ilvl="3" w:tplc="61A808CC" w:tentative="1">
      <w:start w:val="1"/>
      <w:numFmt w:val="bullet"/>
      <w:lvlText w:val=""/>
      <w:lvlJc w:val="left"/>
      <w:pPr>
        <w:ind w:left="2880" w:hanging="360"/>
      </w:pPr>
      <w:rPr>
        <w:rFonts w:ascii="Symbol" w:hAnsi="Symbol" w:hint="default"/>
      </w:rPr>
    </w:lvl>
    <w:lvl w:ilvl="4" w:tplc="F05696E6" w:tentative="1">
      <w:start w:val="1"/>
      <w:numFmt w:val="bullet"/>
      <w:lvlText w:val="o"/>
      <w:lvlJc w:val="left"/>
      <w:pPr>
        <w:ind w:left="3600" w:hanging="360"/>
      </w:pPr>
      <w:rPr>
        <w:rFonts w:ascii="Courier New" w:hAnsi="Courier New" w:cs="Courier New" w:hint="default"/>
      </w:rPr>
    </w:lvl>
    <w:lvl w:ilvl="5" w:tplc="A08A3FF0" w:tentative="1">
      <w:start w:val="1"/>
      <w:numFmt w:val="bullet"/>
      <w:lvlText w:val=""/>
      <w:lvlJc w:val="left"/>
      <w:pPr>
        <w:ind w:left="4320" w:hanging="360"/>
      </w:pPr>
      <w:rPr>
        <w:rFonts w:ascii="Wingdings" w:hAnsi="Wingdings" w:hint="default"/>
      </w:rPr>
    </w:lvl>
    <w:lvl w:ilvl="6" w:tplc="55A0541C" w:tentative="1">
      <w:start w:val="1"/>
      <w:numFmt w:val="bullet"/>
      <w:lvlText w:val=""/>
      <w:lvlJc w:val="left"/>
      <w:pPr>
        <w:ind w:left="5040" w:hanging="360"/>
      </w:pPr>
      <w:rPr>
        <w:rFonts w:ascii="Symbol" w:hAnsi="Symbol" w:hint="default"/>
      </w:rPr>
    </w:lvl>
    <w:lvl w:ilvl="7" w:tplc="314ED51C" w:tentative="1">
      <w:start w:val="1"/>
      <w:numFmt w:val="bullet"/>
      <w:lvlText w:val="o"/>
      <w:lvlJc w:val="left"/>
      <w:pPr>
        <w:ind w:left="5760" w:hanging="360"/>
      </w:pPr>
      <w:rPr>
        <w:rFonts w:ascii="Courier New" w:hAnsi="Courier New" w:cs="Courier New" w:hint="default"/>
      </w:rPr>
    </w:lvl>
    <w:lvl w:ilvl="8" w:tplc="4C8299B8"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413C093A">
      <w:start w:val="1"/>
      <w:numFmt w:val="lowerLetter"/>
      <w:pStyle w:val="Alphabetlist"/>
      <w:lvlText w:val="%1."/>
      <w:lvlJc w:val="left"/>
      <w:pPr>
        <w:ind w:left="1004" w:hanging="360"/>
      </w:pPr>
    </w:lvl>
    <w:lvl w:ilvl="1" w:tplc="3DC65ADC" w:tentative="1">
      <w:start w:val="1"/>
      <w:numFmt w:val="lowerLetter"/>
      <w:lvlText w:val="%2."/>
      <w:lvlJc w:val="left"/>
      <w:pPr>
        <w:ind w:left="1724" w:hanging="360"/>
      </w:pPr>
    </w:lvl>
    <w:lvl w:ilvl="2" w:tplc="2EA01622" w:tentative="1">
      <w:start w:val="1"/>
      <w:numFmt w:val="lowerRoman"/>
      <w:lvlText w:val="%3."/>
      <w:lvlJc w:val="right"/>
      <w:pPr>
        <w:ind w:left="2444" w:hanging="180"/>
      </w:pPr>
    </w:lvl>
    <w:lvl w:ilvl="3" w:tplc="9320B31E" w:tentative="1">
      <w:start w:val="1"/>
      <w:numFmt w:val="decimal"/>
      <w:lvlText w:val="%4."/>
      <w:lvlJc w:val="left"/>
      <w:pPr>
        <w:ind w:left="3164" w:hanging="360"/>
      </w:pPr>
    </w:lvl>
    <w:lvl w:ilvl="4" w:tplc="05B428F4" w:tentative="1">
      <w:start w:val="1"/>
      <w:numFmt w:val="lowerLetter"/>
      <w:lvlText w:val="%5."/>
      <w:lvlJc w:val="left"/>
      <w:pPr>
        <w:ind w:left="3884" w:hanging="360"/>
      </w:pPr>
    </w:lvl>
    <w:lvl w:ilvl="5" w:tplc="8B2EC5CE" w:tentative="1">
      <w:start w:val="1"/>
      <w:numFmt w:val="lowerRoman"/>
      <w:lvlText w:val="%6."/>
      <w:lvlJc w:val="right"/>
      <w:pPr>
        <w:ind w:left="4604" w:hanging="180"/>
      </w:pPr>
    </w:lvl>
    <w:lvl w:ilvl="6" w:tplc="08C4C508" w:tentative="1">
      <w:start w:val="1"/>
      <w:numFmt w:val="decimal"/>
      <w:lvlText w:val="%7."/>
      <w:lvlJc w:val="left"/>
      <w:pPr>
        <w:ind w:left="5324" w:hanging="360"/>
      </w:pPr>
    </w:lvl>
    <w:lvl w:ilvl="7" w:tplc="3FB46394" w:tentative="1">
      <w:start w:val="1"/>
      <w:numFmt w:val="lowerLetter"/>
      <w:lvlText w:val="%8."/>
      <w:lvlJc w:val="left"/>
      <w:pPr>
        <w:ind w:left="6044" w:hanging="360"/>
      </w:pPr>
    </w:lvl>
    <w:lvl w:ilvl="8" w:tplc="8F60FB4C"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BE44DC64">
      <w:start w:val="1"/>
      <w:numFmt w:val="bullet"/>
      <w:pStyle w:val="Bullet1"/>
      <w:lvlText w:val=""/>
      <w:lvlJc w:val="left"/>
      <w:pPr>
        <w:ind w:left="720" w:hanging="360"/>
      </w:pPr>
      <w:rPr>
        <w:rFonts w:ascii="Symbol" w:hAnsi="Symbol" w:hint="default"/>
      </w:rPr>
    </w:lvl>
    <w:lvl w:ilvl="1" w:tplc="6D4A2EB0" w:tentative="1">
      <w:start w:val="1"/>
      <w:numFmt w:val="bullet"/>
      <w:lvlText w:val="o"/>
      <w:lvlJc w:val="left"/>
      <w:pPr>
        <w:ind w:left="1440" w:hanging="360"/>
      </w:pPr>
      <w:rPr>
        <w:rFonts w:ascii="Courier New" w:hAnsi="Courier New" w:cs="Courier New" w:hint="default"/>
      </w:rPr>
    </w:lvl>
    <w:lvl w:ilvl="2" w:tplc="918E728A" w:tentative="1">
      <w:start w:val="1"/>
      <w:numFmt w:val="bullet"/>
      <w:lvlText w:val=""/>
      <w:lvlJc w:val="left"/>
      <w:pPr>
        <w:ind w:left="2160" w:hanging="360"/>
      </w:pPr>
      <w:rPr>
        <w:rFonts w:ascii="Wingdings" w:hAnsi="Wingdings" w:hint="default"/>
      </w:rPr>
    </w:lvl>
    <w:lvl w:ilvl="3" w:tplc="85187806" w:tentative="1">
      <w:start w:val="1"/>
      <w:numFmt w:val="bullet"/>
      <w:lvlText w:val=""/>
      <w:lvlJc w:val="left"/>
      <w:pPr>
        <w:ind w:left="2880" w:hanging="360"/>
      </w:pPr>
      <w:rPr>
        <w:rFonts w:ascii="Symbol" w:hAnsi="Symbol" w:hint="default"/>
      </w:rPr>
    </w:lvl>
    <w:lvl w:ilvl="4" w:tplc="05F28784" w:tentative="1">
      <w:start w:val="1"/>
      <w:numFmt w:val="bullet"/>
      <w:lvlText w:val="o"/>
      <w:lvlJc w:val="left"/>
      <w:pPr>
        <w:ind w:left="3600" w:hanging="360"/>
      </w:pPr>
      <w:rPr>
        <w:rFonts w:ascii="Courier New" w:hAnsi="Courier New" w:cs="Courier New" w:hint="default"/>
      </w:rPr>
    </w:lvl>
    <w:lvl w:ilvl="5" w:tplc="3314FA7C" w:tentative="1">
      <w:start w:val="1"/>
      <w:numFmt w:val="bullet"/>
      <w:lvlText w:val=""/>
      <w:lvlJc w:val="left"/>
      <w:pPr>
        <w:ind w:left="4320" w:hanging="360"/>
      </w:pPr>
      <w:rPr>
        <w:rFonts w:ascii="Wingdings" w:hAnsi="Wingdings" w:hint="default"/>
      </w:rPr>
    </w:lvl>
    <w:lvl w:ilvl="6" w:tplc="EDD0CA04" w:tentative="1">
      <w:start w:val="1"/>
      <w:numFmt w:val="bullet"/>
      <w:lvlText w:val=""/>
      <w:lvlJc w:val="left"/>
      <w:pPr>
        <w:ind w:left="5040" w:hanging="360"/>
      </w:pPr>
      <w:rPr>
        <w:rFonts w:ascii="Symbol" w:hAnsi="Symbol" w:hint="default"/>
      </w:rPr>
    </w:lvl>
    <w:lvl w:ilvl="7" w:tplc="B2282E16" w:tentative="1">
      <w:start w:val="1"/>
      <w:numFmt w:val="bullet"/>
      <w:lvlText w:val="o"/>
      <w:lvlJc w:val="left"/>
      <w:pPr>
        <w:ind w:left="5760" w:hanging="360"/>
      </w:pPr>
      <w:rPr>
        <w:rFonts w:ascii="Courier New" w:hAnsi="Courier New" w:cs="Courier New" w:hint="default"/>
      </w:rPr>
    </w:lvl>
    <w:lvl w:ilvl="8" w:tplc="823E0350"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85490928">
    <w:abstractNumId w:val="0"/>
  </w:num>
  <w:num w:numId="2" w16cid:durableId="1356229374">
    <w:abstractNumId w:val="1"/>
  </w:num>
  <w:num w:numId="3" w16cid:durableId="1118645223">
    <w:abstractNumId w:val="2"/>
  </w:num>
  <w:num w:numId="4" w16cid:durableId="951980952">
    <w:abstractNumId w:val="3"/>
  </w:num>
  <w:num w:numId="5" w16cid:durableId="1936787447">
    <w:abstractNumId w:val="4"/>
  </w:num>
  <w:num w:numId="6" w16cid:durableId="1523544137">
    <w:abstractNumId w:val="9"/>
  </w:num>
  <w:num w:numId="7" w16cid:durableId="1504583918">
    <w:abstractNumId w:val="5"/>
  </w:num>
  <w:num w:numId="8" w16cid:durableId="2134404275">
    <w:abstractNumId w:val="6"/>
  </w:num>
  <w:num w:numId="9" w16cid:durableId="123232504">
    <w:abstractNumId w:val="7"/>
  </w:num>
  <w:num w:numId="10" w16cid:durableId="1774204109">
    <w:abstractNumId w:val="8"/>
  </w:num>
  <w:num w:numId="11" w16cid:durableId="471873929">
    <w:abstractNumId w:val="10"/>
  </w:num>
  <w:num w:numId="12" w16cid:durableId="508104905">
    <w:abstractNumId w:val="15"/>
  </w:num>
  <w:num w:numId="13" w16cid:durableId="1525360874">
    <w:abstractNumId w:val="19"/>
  </w:num>
  <w:num w:numId="14" w16cid:durableId="4677923">
    <w:abstractNumId w:val="20"/>
  </w:num>
  <w:num w:numId="15" w16cid:durableId="1143961262">
    <w:abstractNumId w:val="14"/>
  </w:num>
  <w:num w:numId="16" w16cid:durableId="815993224">
    <w:abstractNumId w:val="14"/>
    <w:lvlOverride w:ilvl="0">
      <w:startOverride w:val="1"/>
    </w:lvlOverride>
  </w:num>
  <w:num w:numId="17" w16cid:durableId="1788116840">
    <w:abstractNumId w:val="18"/>
  </w:num>
  <w:num w:numId="18" w16cid:durableId="650408720">
    <w:abstractNumId w:val="13"/>
  </w:num>
  <w:num w:numId="19" w16cid:durableId="82185910">
    <w:abstractNumId w:val="12"/>
  </w:num>
  <w:num w:numId="20" w16cid:durableId="2120830560">
    <w:abstractNumId w:val="11"/>
  </w:num>
  <w:num w:numId="21" w16cid:durableId="1541161910">
    <w:abstractNumId w:val="16"/>
  </w:num>
  <w:num w:numId="22" w16cid:durableId="859321622">
    <w:abstractNumId w:val="17"/>
  </w:num>
  <w:num w:numId="23" w16cid:durableId="343870865">
    <w:abstractNumId w:val="18"/>
  </w:num>
  <w:num w:numId="24" w16cid:durableId="327102249">
    <w:abstractNumId w:val="21"/>
  </w:num>
  <w:num w:numId="25" w16cid:durableId="1350520179">
    <w:abstractNumId w:val="21"/>
  </w:num>
  <w:num w:numId="26" w16cid:durableId="500656402">
    <w:abstractNumId w:val="21"/>
  </w:num>
  <w:num w:numId="27" w16cid:durableId="648291782">
    <w:abstractNumId w:val="21"/>
  </w:num>
  <w:num w:numId="28" w16cid:durableId="1534997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0B"/>
    <w:rsid w:val="006D66CB"/>
    <w:rsid w:val="00781EF2"/>
    <w:rsid w:val="00812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0108"/>
  <w15:docId w15:val="{CAC50A82-4EED-4F17-8DF9-EC765124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7.png"/><Relationship Id="rId39" Type="http://schemas.openxmlformats.org/officeDocument/2006/relationships/image" Target="media/image20.png"/><Relationship Id="rId21" Type="http://schemas.openxmlformats.org/officeDocument/2006/relationships/footer" Target="footer2.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image" Target="media/image39.png"/><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7.png"/><Relationship Id="rId8" Type="http://schemas.openxmlformats.org/officeDocument/2006/relationships/webSettings" Target="webSettings.xml"/><Relationship Id="rId51" Type="http://schemas.openxmlformats.org/officeDocument/2006/relationships/image" Target="media/image32.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footer" Target="footer4.xml"/><Relationship Id="rId20" Type="http://schemas.openxmlformats.org/officeDocument/2006/relationships/footer" Target="footer1.xml"/><Relationship Id="rId41" Type="http://schemas.openxmlformats.org/officeDocument/2006/relationships/image" Target="media/image22.png"/><Relationship Id="rId54"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4.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3620</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Laura Sammut</cp:lastModifiedBy>
  <cp:revision>2</cp:revision>
  <dcterms:created xsi:type="dcterms:W3CDTF">2026-05-05T06:00:00Z</dcterms:created>
  <dcterms:modified xsi:type="dcterms:W3CDTF">2026-05-05T06:00:00Z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